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A" w:rsidRPr="00AB448E" w:rsidRDefault="000433F7" w:rsidP="006E6D1F">
      <w:pPr>
        <w:tabs>
          <w:tab w:val="left" w:pos="5245"/>
          <w:tab w:val="left" w:pos="8222"/>
        </w:tabs>
        <w:ind w:right="-144"/>
        <w:jc w:val="right"/>
        <w:rPr>
          <w:rStyle w:val="s1"/>
          <w:sz w:val="28"/>
          <w:szCs w:val="28"/>
        </w:rPr>
      </w:pPr>
      <w:r w:rsidRPr="00AB448E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76443" wp14:editId="51AE2260">
                <wp:simplePos x="0" y="0"/>
                <wp:positionH relativeFrom="column">
                  <wp:posOffset>2959735</wp:posOffset>
                </wp:positionH>
                <wp:positionV relativeFrom="paragraph">
                  <wp:posOffset>-504190</wp:posOffset>
                </wp:positionV>
                <wp:extent cx="193675" cy="259080"/>
                <wp:effectExtent l="6985" t="10160" r="8890" b="698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259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33.05pt;margin-top:-39.7pt;width:15.2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" strokecolor="white"/>
            </w:pict>
          </mc:Fallback>
        </mc:AlternateContent>
      </w:r>
      <w:r w:rsidR="006E6D1F" w:rsidRPr="00AB448E">
        <w:rPr>
          <w:rStyle w:val="s1"/>
          <w:sz w:val="28"/>
          <w:szCs w:val="28"/>
        </w:rPr>
        <w:t>ПРОЕКТ</w:t>
      </w:r>
    </w:p>
    <w:p w:rsidR="006E6D1F" w:rsidRPr="00AB448E" w:rsidRDefault="006E6D1F" w:rsidP="006E6D1F">
      <w:pPr>
        <w:tabs>
          <w:tab w:val="left" w:pos="5245"/>
          <w:tab w:val="left" w:pos="8222"/>
        </w:tabs>
        <w:ind w:right="-144"/>
        <w:jc w:val="right"/>
        <w:rPr>
          <w:rStyle w:val="s1"/>
          <w:sz w:val="28"/>
          <w:szCs w:val="28"/>
        </w:rPr>
      </w:pPr>
    </w:p>
    <w:tbl>
      <w:tblPr>
        <w:tblW w:w="1008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3960"/>
      </w:tblGrid>
      <w:tr w:rsidR="006E6D1F" w:rsidRPr="00AB448E" w:rsidTr="006E6D1F">
        <w:trPr>
          <w:trHeight w:val="1843"/>
        </w:trPr>
        <w:tc>
          <w:tcPr>
            <w:tcW w:w="4320" w:type="dxa"/>
          </w:tcPr>
          <w:p w:rsidR="006E6D1F" w:rsidRPr="00AB448E" w:rsidRDefault="006E6D1F">
            <w:pPr>
              <w:pStyle w:val="ae"/>
              <w:rPr>
                <w:lang w:val="kk-KZ"/>
              </w:rPr>
            </w:pPr>
            <w:r w:rsidRPr="00AB448E">
              <w:rPr>
                <w:lang w:val="kk-KZ"/>
              </w:rPr>
              <w:t>«ҚАЗАҚСТАН РЕСПУБЛИКАСЫНЫҢ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448E">
              <w:rPr>
                <w:b/>
                <w:sz w:val="24"/>
                <w:szCs w:val="24"/>
                <w:lang w:val="kk-KZ"/>
              </w:rPr>
              <w:t>ҰЛТТЫҚ БАНКІ»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6E6D1F" w:rsidRPr="00AB448E" w:rsidRDefault="006E6D1F">
            <w:pPr>
              <w:jc w:val="center"/>
              <w:rPr>
                <w:sz w:val="24"/>
                <w:szCs w:val="24"/>
                <w:lang w:val="kk-KZ"/>
              </w:rPr>
            </w:pPr>
            <w:r w:rsidRPr="00AB448E">
              <w:rPr>
                <w:sz w:val="24"/>
                <w:szCs w:val="24"/>
                <w:lang w:val="kk-KZ"/>
              </w:rPr>
              <w:t xml:space="preserve">РЕСПУБЛИКАЛЫҚ 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kk-KZ"/>
              </w:rPr>
              <w:t>МЕМЛЕКЕТТІК МЕКЕМЕСІ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:rsidR="006E6D1F" w:rsidRPr="00AB448E" w:rsidRDefault="000433F7">
            <w:pPr>
              <w:rPr>
                <w:sz w:val="24"/>
                <w:szCs w:val="24"/>
                <w:lang w:val="kk-KZ"/>
              </w:rPr>
            </w:pPr>
            <w:r w:rsidRPr="00AB448E">
              <w:rPr>
                <w:noProof/>
                <w:sz w:val="24"/>
                <w:szCs w:val="24"/>
              </w:rPr>
              <w:drawing>
                <wp:inline distT="0" distB="0" distL="0" distR="0" wp14:anchorId="20699405" wp14:editId="0D6040D0">
                  <wp:extent cx="955040" cy="10274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 xml:space="preserve">РЕСПУБЛИКАНСКОЕ </w:t>
            </w:r>
          </w:p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ГОСУДАР</w:t>
            </w:r>
            <w:r w:rsidRPr="00AB448E">
              <w:rPr>
                <w:sz w:val="24"/>
                <w:szCs w:val="24"/>
                <w:lang w:val="kk-KZ"/>
              </w:rPr>
              <w:t>С</w:t>
            </w:r>
            <w:r w:rsidRPr="00AB448E">
              <w:rPr>
                <w:sz w:val="24"/>
                <w:szCs w:val="24"/>
              </w:rPr>
              <w:t>ТВЕННОЕ УЧРЕЖДЕНИЕ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</w:rPr>
              <w:t>«НАЦИОНАЛЬНЫЙ БАНК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</w:rPr>
              <w:t>РЕСПУБЛИКИ КАЗАХСТАН»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6D1F" w:rsidRPr="00AB448E" w:rsidTr="006E6D1F">
        <w:trPr>
          <w:trHeight w:val="691"/>
        </w:trPr>
        <w:tc>
          <w:tcPr>
            <w:tcW w:w="4320" w:type="dxa"/>
            <w:hideMark/>
          </w:tcPr>
          <w:p w:rsidR="006E6D1F" w:rsidRPr="00AB448E" w:rsidRDefault="006E6D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448E">
              <w:rPr>
                <w:b/>
                <w:sz w:val="24"/>
                <w:szCs w:val="24"/>
              </w:rPr>
              <w:t>БА</w:t>
            </w:r>
            <w:r w:rsidRPr="00AB448E">
              <w:rPr>
                <w:b/>
                <w:sz w:val="24"/>
                <w:szCs w:val="24"/>
                <w:lang w:val="kk-KZ"/>
              </w:rPr>
              <w:t>СҚАРМАСЫНЫҢ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448E">
              <w:rPr>
                <w:b/>
                <w:sz w:val="24"/>
                <w:szCs w:val="24"/>
                <w:lang w:val="kk-KZ"/>
              </w:rPr>
              <w:t>ҚАУЛЫСЫ</w:t>
            </w:r>
          </w:p>
        </w:tc>
        <w:tc>
          <w:tcPr>
            <w:tcW w:w="1800" w:type="dxa"/>
          </w:tcPr>
          <w:p w:rsidR="006E6D1F" w:rsidRPr="00AB448E" w:rsidRDefault="006E6D1F">
            <w:pPr>
              <w:ind w:left="158"/>
              <w:rPr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  <w:hideMark/>
          </w:tcPr>
          <w:p w:rsidR="006E6D1F" w:rsidRPr="00AB448E" w:rsidRDefault="006E6D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448E">
              <w:rPr>
                <w:b/>
                <w:sz w:val="24"/>
                <w:szCs w:val="24"/>
                <w:lang w:val="kk-KZ"/>
              </w:rPr>
              <w:t xml:space="preserve">ПОСТАНОВЛЕНИЕ </w:t>
            </w: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  <w:lang w:val="kk-KZ"/>
              </w:rPr>
              <w:t>ПРАВЛЕНИЯ</w:t>
            </w:r>
          </w:p>
        </w:tc>
      </w:tr>
      <w:tr w:rsidR="006E6D1F" w:rsidRPr="00AB448E" w:rsidTr="006E6D1F">
        <w:trPr>
          <w:trHeight w:val="691"/>
        </w:trPr>
        <w:tc>
          <w:tcPr>
            <w:tcW w:w="4320" w:type="dxa"/>
          </w:tcPr>
          <w:p w:rsidR="006E6D1F" w:rsidRPr="00AB448E" w:rsidRDefault="006E6D1F">
            <w:pPr>
              <w:jc w:val="center"/>
              <w:rPr>
                <w:sz w:val="24"/>
                <w:lang w:val="kk-KZ"/>
              </w:rPr>
            </w:pPr>
          </w:p>
          <w:p w:rsidR="006E6D1F" w:rsidRPr="00AB448E" w:rsidRDefault="006E6D1F" w:rsidP="003B2784">
            <w:pPr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sz w:val="24"/>
                <w:lang w:val="kk-KZ"/>
              </w:rPr>
              <w:t>__________ 201</w:t>
            </w:r>
            <w:r w:rsidR="003B2784" w:rsidRPr="00AB448E">
              <w:rPr>
                <w:sz w:val="24"/>
              </w:rPr>
              <w:t>7</w:t>
            </w:r>
            <w:r w:rsidRPr="00AB448E">
              <w:rPr>
                <w:sz w:val="24"/>
                <w:lang w:val="kk-KZ"/>
              </w:rPr>
              <w:t xml:space="preserve"> года</w:t>
            </w:r>
          </w:p>
        </w:tc>
        <w:tc>
          <w:tcPr>
            <w:tcW w:w="1800" w:type="dxa"/>
          </w:tcPr>
          <w:p w:rsidR="006E6D1F" w:rsidRPr="00AB448E" w:rsidRDefault="006E6D1F">
            <w:pPr>
              <w:ind w:left="158"/>
              <w:rPr>
                <w:sz w:val="24"/>
                <w:szCs w:val="24"/>
                <w:lang w:val="kk-KZ"/>
              </w:rPr>
            </w:pPr>
          </w:p>
        </w:tc>
        <w:tc>
          <w:tcPr>
            <w:tcW w:w="3960" w:type="dxa"/>
          </w:tcPr>
          <w:p w:rsidR="006E6D1F" w:rsidRPr="00AB448E" w:rsidRDefault="006E6D1F">
            <w:pPr>
              <w:jc w:val="center"/>
              <w:rPr>
                <w:sz w:val="24"/>
                <w:lang w:val="kk-KZ"/>
              </w:rPr>
            </w:pPr>
          </w:p>
          <w:p w:rsidR="006E6D1F" w:rsidRPr="00AB448E" w:rsidRDefault="006E6D1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448E">
              <w:rPr>
                <w:sz w:val="24"/>
                <w:lang w:val="kk-KZ"/>
              </w:rPr>
              <w:t>№ _____</w:t>
            </w:r>
          </w:p>
        </w:tc>
      </w:tr>
      <w:tr w:rsidR="006E6D1F" w:rsidRPr="00AB448E" w:rsidTr="006E6D1F">
        <w:trPr>
          <w:trHeight w:val="526"/>
        </w:trPr>
        <w:tc>
          <w:tcPr>
            <w:tcW w:w="4320" w:type="dxa"/>
          </w:tcPr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</w:p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 xml:space="preserve">Алматы </w:t>
            </w:r>
            <w:proofErr w:type="spellStart"/>
            <w:r w:rsidRPr="00AB448E">
              <w:rPr>
                <w:sz w:val="24"/>
                <w:szCs w:val="24"/>
              </w:rPr>
              <w:t>қаласы</w:t>
            </w:r>
            <w:proofErr w:type="spellEnd"/>
          </w:p>
        </w:tc>
        <w:tc>
          <w:tcPr>
            <w:tcW w:w="1800" w:type="dxa"/>
          </w:tcPr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</w:p>
          <w:p w:rsidR="006E6D1F" w:rsidRPr="00AB448E" w:rsidRDefault="006E6D1F">
            <w:pPr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город Алматы</w:t>
            </w:r>
          </w:p>
        </w:tc>
      </w:tr>
    </w:tbl>
    <w:p w:rsidR="006E6D1F" w:rsidRPr="00AB448E" w:rsidRDefault="006E6D1F" w:rsidP="006E6D1F">
      <w:pPr>
        <w:tabs>
          <w:tab w:val="left" w:pos="5245"/>
          <w:tab w:val="left" w:pos="8222"/>
        </w:tabs>
        <w:ind w:right="3968"/>
        <w:jc w:val="right"/>
        <w:rPr>
          <w:rStyle w:val="s1"/>
          <w:sz w:val="28"/>
          <w:szCs w:val="28"/>
        </w:rPr>
      </w:pPr>
    </w:p>
    <w:p w:rsidR="006E6D1F" w:rsidRPr="00AB448E" w:rsidRDefault="006E6D1F" w:rsidP="006E6D1F">
      <w:pPr>
        <w:tabs>
          <w:tab w:val="left" w:pos="5245"/>
          <w:tab w:val="left" w:pos="8222"/>
        </w:tabs>
        <w:ind w:right="3968"/>
        <w:jc w:val="right"/>
        <w:rPr>
          <w:rStyle w:val="s1"/>
          <w:sz w:val="28"/>
          <w:szCs w:val="28"/>
        </w:rPr>
      </w:pPr>
    </w:p>
    <w:p w:rsidR="00883DAA" w:rsidRPr="00AB448E" w:rsidRDefault="00883DAA" w:rsidP="00883DAA">
      <w:pPr>
        <w:jc w:val="right"/>
        <w:rPr>
          <w:sz w:val="24"/>
          <w:szCs w:val="24"/>
        </w:rPr>
      </w:pPr>
    </w:p>
    <w:p w:rsidR="00A57DE6" w:rsidRPr="00AB448E" w:rsidRDefault="00A57DE6" w:rsidP="00A57DE6">
      <w:pPr>
        <w:ind w:right="4817"/>
        <w:jc w:val="both"/>
        <w:rPr>
          <w:b/>
          <w:bCs/>
          <w:sz w:val="28"/>
          <w:szCs w:val="28"/>
        </w:rPr>
      </w:pPr>
      <w:r w:rsidRPr="00AB448E">
        <w:rPr>
          <w:b/>
          <w:bCs/>
          <w:sz w:val="28"/>
          <w:szCs w:val="28"/>
        </w:rPr>
        <w:t>Об установлении иных факторов, влияющих на ухудшение финансового положения страховой (перестраховочной) организации и страховой группы, а также утверждении Правил применения мер раннего реагирования и методики определения факторов, влияющих на ухудшение финансового положения страховой (перестраховочной) организации (страховой группы)</w:t>
      </w:r>
    </w:p>
    <w:p w:rsidR="000D1D1C" w:rsidRPr="00AB448E" w:rsidRDefault="000D1D1C" w:rsidP="000D1D1C">
      <w:pPr>
        <w:rPr>
          <w:sz w:val="28"/>
          <w:szCs w:val="28"/>
        </w:rPr>
      </w:pPr>
      <w:bookmarkStart w:id="0" w:name="sub1003476771"/>
    </w:p>
    <w:p w:rsidR="00D86A67" w:rsidRPr="00AB448E" w:rsidRDefault="00D86A67" w:rsidP="00D86A67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В соответствии с Законом Республики Казахстан от 18 декабря 2000 года «О страховой деятельности» Правление Национального Банка Республики Казахстан» </w:t>
      </w:r>
      <w:r w:rsidRPr="00AB448E">
        <w:rPr>
          <w:rStyle w:val="s0"/>
          <w:b/>
          <w:sz w:val="28"/>
          <w:szCs w:val="28"/>
        </w:rPr>
        <w:t>ПОСТАНОВЛЯЕТ</w:t>
      </w:r>
      <w:r w:rsidRPr="00AB448E">
        <w:rPr>
          <w:rStyle w:val="s0"/>
          <w:sz w:val="28"/>
          <w:szCs w:val="28"/>
        </w:rPr>
        <w:t>:</w:t>
      </w:r>
    </w:p>
    <w:p w:rsidR="00D86A67" w:rsidRPr="00AB448E" w:rsidRDefault="00D86A67" w:rsidP="00D86A67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1. </w:t>
      </w:r>
      <w:proofErr w:type="gramStart"/>
      <w:r w:rsidRPr="00AB448E">
        <w:rPr>
          <w:rStyle w:val="s0"/>
          <w:sz w:val="28"/>
          <w:szCs w:val="28"/>
        </w:rPr>
        <w:t>Установить, помимо факторов, указанных в подпунктах 1) и 2) пункта 1 статьи 53 Закона Республики Казахстан от 18 декабря 2000 года «О страховой деятельности» (далее – Закон), иные факторы, влияющие на ухудшение финансового положения страховой (перестраховочной) организации:</w:t>
      </w:r>
      <w:proofErr w:type="gramEnd"/>
    </w:p>
    <w:p w:rsidR="00B4488C" w:rsidRPr="00AB448E" w:rsidRDefault="00B4488C" w:rsidP="00F26466">
      <w:pPr>
        <w:ind w:firstLine="709"/>
        <w:jc w:val="both"/>
        <w:rPr>
          <w:rStyle w:val="s0"/>
          <w:sz w:val="28"/>
          <w:szCs w:val="28"/>
          <w:lang w:val="kk-KZ"/>
        </w:rPr>
      </w:pPr>
      <w:r w:rsidRPr="00AB448E">
        <w:rPr>
          <w:rStyle w:val="s0"/>
          <w:sz w:val="28"/>
          <w:szCs w:val="28"/>
        </w:rPr>
        <w:t>1)</w:t>
      </w:r>
      <w:r w:rsidR="00E442B3" w:rsidRPr="00AB448E">
        <w:rPr>
          <w:rStyle w:val="s0"/>
          <w:sz w:val="28"/>
          <w:szCs w:val="28"/>
        </w:rPr>
        <w:t xml:space="preserve"> </w:t>
      </w:r>
      <w:r w:rsidRPr="00AB448E">
        <w:rPr>
          <w:rStyle w:val="s0"/>
          <w:sz w:val="28"/>
          <w:szCs w:val="28"/>
        </w:rPr>
        <w:t>уровень финансовой устойчивости</w:t>
      </w:r>
      <w:r w:rsidR="00F26466" w:rsidRPr="00AB448E">
        <w:rPr>
          <w:rStyle w:val="s0"/>
          <w:sz w:val="28"/>
          <w:szCs w:val="28"/>
        </w:rPr>
        <w:t xml:space="preserve"> (далее – УФУ) </w:t>
      </w:r>
      <w:r w:rsidR="00845EDC" w:rsidRPr="00AB448E">
        <w:rPr>
          <w:rStyle w:val="s0"/>
          <w:sz w:val="28"/>
          <w:szCs w:val="28"/>
          <w:lang w:val="kk-KZ"/>
        </w:rPr>
        <w:t xml:space="preserve">– уровень, определяемый в соответствиии с интервалом оценки коэффицитентов </w:t>
      </w:r>
      <w:r w:rsidR="00E442B3" w:rsidRPr="00AB448E">
        <w:rPr>
          <w:rStyle w:val="s0"/>
          <w:sz w:val="28"/>
          <w:szCs w:val="28"/>
        </w:rPr>
        <w:t xml:space="preserve">по системе </w:t>
      </w:r>
      <w:r w:rsidR="00E442B3" w:rsidRPr="00AB448E">
        <w:rPr>
          <w:rStyle w:val="s0"/>
          <w:sz w:val="28"/>
          <w:szCs w:val="28"/>
          <w:lang w:val="en-US"/>
        </w:rPr>
        <w:t>Early</w:t>
      </w:r>
      <w:r w:rsidR="00E442B3" w:rsidRPr="00AB448E">
        <w:rPr>
          <w:rStyle w:val="s0"/>
          <w:sz w:val="28"/>
          <w:szCs w:val="28"/>
        </w:rPr>
        <w:t xml:space="preserve"> </w:t>
      </w:r>
      <w:r w:rsidR="00E442B3" w:rsidRPr="00AB448E">
        <w:rPr>
          <w:rStyle w:val="s0"/>
          <w:sz w:val="28"/>
          <w:szCs w:val="28"/>
          <w:lang w:val="en-US"/>
        </w:rPr>
        <w:t>Warning</w:t>
      </w:r>
      <w:r w:rsidR="00E442B3" w:rsidRPr="00AB448E">
        <w:rPr>
          <w:rStyle w:val="s0"/>
          <w:sz w:val="28"/>
          <w:szCs w:val="28"/>
        </w:rPr>
        <w:t xml:space="preserve"> </w:t>
      </w:r>
      <w:r w:rsidR="00E442B3" w:rsidRPr="00AB448E">
        <w:rPr>
          <w:rStyle w:val="s0"/>
          <w:sz w:val="28"/>
          <w:szCs w:val="28"/>
          <w:lang w:val="en-US"/>
        </w:rPr>
        <w:t>System</w:t>
      </w:r>
      <w:r w:rsidR="00E442B3" w:rsidRPr="00AB448E">
        <w:rPr>
          <w:rStyle w:val="s0"/>
          <w:sz w:val="28"/>
          <w:szCs w:val="28"/>
        </w:rPr>
        <w:t xml:space="preserve"> (далее – </w:t>
      </w:r>
      <w:r w:rsidR="00E442B3" w:rsidRPr="00AB448E">
        <w:rPr>
          <w:rStyle w:val="s0"/>
          <w:sz w:val="28"/>
          <w:szCs w:val="28"/>
          <w:lang w:val="en-US"/>
        </w:rPr>
        <w:t>EWS</w:t>
      </w:r>
      <w:r w:rsidR="00845EDC" w:rsidRPr="00AB448E">
        <w:rPr>
          <w:rStyle w:val="s0"/>
          <w:sz w:val="28"/>
          <w:szCs w:val="28"/>
        </w:rPr>
        <w:t>)</w:t>
      </w:r>
      <w:r w:rsidR="00845EDC" w:rsidRPr="00AB448E">
        <w:rPr>
          <w:rStyle w:val="s0"/>
          <w:sz w:val="28"/>
          <w:szCs w:val="28"/>
          <w:lang w:val="kk-KZ"/>
        </w:rPr>
        <w:t>;</w:t>
      </w:r>
    </w:p>
    <w:p w:rsidR="00B4488C" w:rsidRPr="00AB448E" w:rsidRDefault="00B4488C" w:rsidP="00B4488C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2)</w:t>
      </w:r>
      <w:r w:rsidR="00E442B3" w:rsidRPr="00AB448E">
        <w:rPr>
          <w:rStyle w:val="s0"/>
          <w:sz w:val="28"/>
          <w:szCs w:val="28"/>
        </w:rPr>
        <w:t xml:space="preserve"> </w:t>
      </w:r>
      <w:r w:rsidRPr="00AB448E">
        <w:rPr>
          <w:rStyle w:val="s0"/>
          <w:sz w:val="28"/>
          <w:szCs w:val="28"/>
        </w:rPr>
        <w:t>превышение суммы требуемого капитала для покрытия валютного риска над разницей значений фактической маржи платежеспособности и минимальной маржи платежеспособности;</w:t>
      </w:r>
    </w:p>
    <w:p w:rsidR="00B4488C" w:rsidRPr="00AB448E" w:rsidRDefault="00E442B3" w:rsidP="00B4488C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lastRenderedPageBreak/>
        <w:t xml:space="preserve">3) </w:t>
      </w:r>
      <w:r w:rsidR="00B4488C" w:rsidRPr="00AB448E">
        <w:rPr>
          <w:rStyle w:val="s0"/>
          <w:sz w:val="28"/>
          <w:szCs w:val="28"/>
        </w:rPr>
        <w:t>недостаток активов с учетом их классификации по качеству и ликвидности для покрытия страховых резервов (включая долю перестраховщика в страховых резервах) и минимального размера маржи платежеспособности страховой (перестраховочной) организации;</w:t>
      </w:r>
    </w:p>
    <w:p w:rsidR="00BC6F22" w:rsidRPr="00AB448E" w:rsidRDefault="00BC6F22" w:rsidP="00BC6F22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2. </w:t>
      </w:r>
      <w:proofErr w:type="gramStart"/>
      <w:r w:rsidRPr="00AB448E">
        <w:rPr>
          <w:rStyle w:val="s0"/>
          <w:sz w:val="28"/>
          <w:szCs w:val="28"/>
        </w:rPr>
        <w:t>Установить, помимо факторов, указанных в подпунктах 1) и 2) пункта 2 статьи 53 Закона, иные факторы, влияющие на ухудшение финансового положения страховой группы:</w:t>
      </w:r>
      <w:proofErr w:type="gramEnd"/>
    </w:p>
    <w:p w:rsidR="00BC6F22" w:rsidRPr="00AB448E" w:rsidRDefault="00BC6F22" w:rsidP="00BC6F22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1) снижение собственного капитала по балансу участника (участников) страховой группы ниже размера их уставного капитала по балансу;</w:t>
      </w:r>
    </w:p>
    <w:p w:rsidR="00BC6F22" w:rsidRPr="00AB448E" w:rsidRDefault="00BC6F22" w:rsidP="00BC6F22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2) превышение объема сделок между участниками страховой группы.</w:t>
      </w:r>
    </w:p>
    <w:p w:rsidR="00BC6F22" w:rsidRPr="00AB448E" w:rsidRDefault="00BC6F22" w:rsidP="00BC6F22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3. Утвердить прилагаемые Правила применения мер раннего реагирования и методику определения факторов, влияющих на ухудшение финансового положения страховой (перестраховочной) организации (страховой группы).</w:t>
      </w:r>
    </w:p>
    <w:p w:rsidR="00BC6F22" w:rsidRPr="00AB448E" w:rsidRDefault="00BC6F22" w:rsidP="00BC6F22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4. Признать утратившими силу:</w:t>
      </w:r>
    </w:p>
    <w:p w:rsidR="00BC6F22" w:rsidRPr="00AB448E" w:rsidRDefault="00BC6F22" w:rsidP="00BC6F22">
      <w:pPr>
        <w:ind w:firstLine="708"/>
        <w:jc w:val="both"/>
        <w:rPr>
          <w:rStyle w:val="s0"/>
          <w:sz w:val="28"/>
          <w:szCs w:val="28"/>
        </w:rPr>
      </w:pPr>
      <w:proofErr w:type="gramStart"/>
      <w:r w:rsidRPr="00AB448E">
        <w:rPr>
          <w:rStyle w:val="s0"/>
          <w:sz w:val="28"/>
          <w:szCs w:val="28"/>
        </w:rPr>
        <w:t>1) постановление Правления Национального Банка Республики Казахстан от 27 августа 2013 года № 233 «Об утверждении Правил применения мер раннего реагирования и методики определения факторов, влияющих на ухудшение финансового положения страховой (перестраховочной) организации (страховой группы)» (зарегистрированное в Реестре государственной регистрации нормативных правовых актов под № 8804, опубликованное 14 ноября 2013 года в газете «Юридическая газета» № 171 (2546));</w:t>
      </w:r>
      <w:proofErr w:type="gramEnd"/>
    </w:p>
    <w:p w:rsidR="00BC6F22" w:rsidRPr="00AB448E" w:rsidRDefault="00BC6F22" w:rsidP="00BC6F22">
      <w:pPr>
        <w:ind w:firstLine="709"/>
        <w:jc w:val="both"/>
        <w:rPr>
          <w:color w:val="auto"/>
          <w:sz w:val="28"/>
          <w:szCs w:val="28"/>
        </w:rPr>
      </w:pPr>
      <w:proofErr w:type="gramStart"/>
      <w:r w:rsidRPr="00AB448E">
        <w:rPr>
          <w:color w:val="auto"/>
          <w:sz w:val="28"/>
          <w:szCs w:val="28"/>
        </w:rPr>
        <w:t xml:space="preserve">2) пункт 21 </w:t>
      </w:r>
      <w:r w:rsidRPr="00AB448E">
        <w:rPr>
          <w:bCs/>
          <w:sz w:val="28"/>
          <w:szCs w:val="28"/>
        </w:rPr>
        <w:t>Перечня нормативных правовых актов Республики Казахстан по вопросам регулирования страховой деятельности, в которые вносятся изменения</w:t>
      </w:r>
      <w:r w:rsidRPr="00AB448E">
        <w:rPr>
          <w:color w:val="auto"/>
          <w:sz w:val="28"/>
          <w:szCs w:val="28"/>
        </w:rPr>
        <w:t xml:space="preserve">, утвержденного постановлением Правления Национального Банка Республики Казахстан от 30 мая 2016 года № 127 «О внесении изменений в некоторые нормативные правовые акты Республики Казахстан по вопросам регулирования страховой деятельности» (зарегистрированным в Реестре государственной регистрации нормативных правовых актов под № </w:t>
      </w:r>
      <w:r w:rsidRPr="00AB448E">
        <w:rPr>
          <w:sz w:val="28"/>
          <w:szCs w:val="28"/>
        </w:rPr>
        <w:t>14277</w:t>
      </w:r>
      <w:r w:rsidRPr="00AB448E">
        <w:rPr>
          <w:color w:val="auto"/>
          <w:sz w:val="28"/>
          <w:szCs w:val="28"/>
        </w:rPr>
        <w:t>, опубликованным 24 октября 2016</w:t>
      </w:r>
      <w:proofErr w:type="gramEnd"/>
      <w:r w:rsidRPr="00AB448E">
        <w:rPr>
          <w:color w:val="auto"/>
          <w:sz w:val="28"/>
          <w:szCs w:val="28"/>
        </w:rPr>
        <w:t xml:space="preserve"> года в информационно-правовой системе «</w:t>
      </w:r>
      <w:proofErr w:type="spellStart"/>
      <w:r w:rsidRPr="00AB448E">
        <w:rPr>
          <w:color w:val="auto"/>
          <w:sz w:val="28"/>
          <w:szCs w:val="28"/>
        </w:rPr>
        <w:t>Әділет</w:t>
      </w:r>
      <w:proofErr w:type="spellEnd"/>
      <w:r w:rsidRPr="00AB448E">
        <w:rPr>
          <w:color w:val="auto"/>
          <w:sz w:val="28"/>
          <w:szCs w:val="28"/>
        </w:rPr>
        <w:t>»).</w:t>
      </w:r>
    </w:p>
    <w:p w:rsidR="00BC6F22" w:rsidRPr="00AB448E" w:rsidRDefault="00BC6F22" w:rsidP="00BC6F22">
      <w:pPr>
        <w:ind w:firstLine="709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5. </w:t>
      </w:r>
      <w:r w:rsidRPr="00AB448E">
        <w:rPr>
          <w:sz w:val="28"/>
          <w:szCs w:val="28"/>
        </w:rPr>
        <w:t xml:space="preserve">Департаменту </w:t>
      </w:r>
      <w:r w:rsidR="00126BE7" w:rsidRPr="00AB448E">
        <w:rPr>
          <w:sz w:val="28"/>
          <w:szCs w:val="28"/>
        </w:rPr>
        <w:t xml:space="preserve">регулирования небанковских финансовых организаций </w:t>
      </w:r>
      <w:r w:rsidRPr="00AB448E">
        <w:rPr>
          <w:sz w:val="28"/>
          <w:szCs w:val="28"/>
        </w:rPr>
        <w:t xml:space="preserve">(Курманов Ж.Б.) в установленном законодательством </w:t>
      </w:r>
      <w:r w:rsidRPr="00AB448E">
        <w:rPr>
          <w:rFonts w:eastAsia="Calibri"/>
          <w:sz w:val="28"/>
          <w:szCs w:val="28"/>
        </w:rPr>
        <w:t xml:space="preserve">Республики Казахстан </w:t>
      </w:r>
      <w:r w:rsidRPr="00AB448E">
        <w:rPr>
          <w:sz w:val="28"/>
          <w:szCs w:val="28"/>
        </w:rPr>
        <w:t>порядке обеспечить:</w:t>
      </w:r>
    </w:p>
    <w:p w:rsidR="00BC6F22" w:rsidRPr="00AB448E" w:rsidRDefault="00BC6F22" w:rsidP="00BC6F22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>1) совместно с Юридическим департаментом (</w:t>
      </w:r>
      <w:proofErr w:type="spellStart"/>
      <w:r w:rsidRPr="00AB448E">
        <w:rPr>
          <w:sz w:val="28"/>
          <w:szCs w:val="28"/>
        </w:rPr>
        <w:t>Сарсенова</w:t>
      </w:r>
      <w:proofErr w:type="spellEnd"/>
      <w:r w:rsidRPr="00AB448E">
        <w:rPr>
          <w:sz w:val="28"/>
          <w:szCs w:val="28"/>
        </w:rPr>
        <w:t xml:space="preserve"> Н.В.) государственную регистрацию настоящего постановления в Министерстве юстиции Республики Казахстан;</w:t>
      </w:r>
    </w:p>
    <w:p w:rsidR="00BC6F22" w:rsidRPr="00AB448E" w:rsidRDefault="00BC6F22" w:rsidP="00BC6F22">
      <w:pPr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B448E">
        <w:rPr>
          <w:rFonts w:eastAsia="Calibri"/>
          <w:color w:val="auto"/>
          <w:sz w:val="28"/>
          <w:szCs w:val="22"/>
          <w:lang w:eastAsia="en-US"/>
        </w:rPr>
        <w:t xml:space="preserve">    </w:t>
      </w:r>
      <w:r w:rsidRPr="00AB448E">
        <w:rPr>
          <w:rFonts w:eastAsia="Calibri"/>
          <w:color w:val="auto"/>
          <w:sz w:val="28"/>
          <w:szCs w:val="22"/>
          <w:lang w:eastAsia="en-US"/>
        </w:rPr>
        <w:tab/>
      </w:r>
      <w:proofErr w:type="gramStart"/>
      <w:r w:rsidRPr="00AB448E">
        <w:rPr>
          <w:rFonts w:eastAsia="Calibri"/>
          <w:color w:val="auto"/>
          <w:sz w:val="28"/>
          <w:szCs w:val="22"/>
          <w:lang w:eastAsia="en-US"/>
        </w:rPr>
        <w:t>2)</w:t>
      </w:r>
      <w:r w:rsidRPr="00AB448E">
        <w:rPr>
          <w:rFonts w:eastAsia="Calibri"/>
          <w:color w:val="auto"/>
          <w:sz w:val="28"/>
          <w:szCs w:val="22"/>
          <w:lang w:eastAsia="en-US"/>
        </w:rPr>
        <w:tab/>
        <w:t>в течение десяти календарных дней со дня государственной регистрации настоящего постановления направление его копи</w:t>
      </w:r>
      <w:r w:rsidRPr="00AB448E">
        <w:rPr>
          <w:rFonts w:eastAsia="Calibri"/>
          <w:color w:val="auto"/>
          <w:sz w:val="28"/>
          <w:szCs w:val="22"/>
          <w:lang w:val="kk-KZ" w:eastAsia="en-US"/>
        </w:rPr>
        <w:t>и</w:t>
      </w:r>
      <w:r w:rsidRPr="00AB448E">
        <w:rPr>
          <w:rFonts w:eastAsia="Calibri"/>
          <w:color w:val="auto"/>
          <w:sz w:val="28"/>
          <w:szCs w:val="22"/>
          <w:lang w:eastAsia="en-US"/>
        </w:rPr>
        <w:t xml:space="preserve">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</w:t>
      </w:r>
      <w:r w:rsidRPr="00AB448E">
        <w:rPr>
          <w:rFonts w:eastAsia="Calibri"/>
          <w:color w:val="auto"/>
          <w:sz w:val="28"/>
          <w:szCs w:val="22"/>
          <w:lang w:eastAsia="en-US"/>
        </w:rPr>
        <w:lastRenderedPageBreak/>
        <w:t>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BC6F22" w:rsidRPr="00AB448E" w:rsidRDefault="00BC6F22" w:rsidP="00BC6F22">
      <w:pPr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B448E">
        <w:rPr>
          <w:rFonts w:eastAsia="Calibri"/>
          <w:color w:val="auto"/>
          <w:sz w:val="28"/>
          <w:szCs w:val="22"/>
          <w:lang w:eastAsia="en-US"/>
        </w:rPr>
        <w:t xml:space="preserve">    </w:t>
      </w:r>
      <w:r w:rsidRPr="00AB448E">
        <w:rPr>
          <w:rFonts w:eastAsia="Calibri"/>
          <w:color w:val="auto"/>
          <w:sz w:val="28"/>
          <w:szCs w:val="22"/>
          <w:lang w:eastAsia="en-US"/>
        </w:rPr>
        <w:tab/>
        <w:t>3)</w:t>
      </w:r>
      <w:r w:rsidRPr="00AB448E">
        <w:rPr>
          <w:rFonts w:eastAsia="Calibri"/>
          <w:color w:val="auto"/>
          <w:sz w:val="28"/>
          <w:szCs w:val="22"/>
          <w:lang w:eastAsia="en-US"/>
        </w:rPr>
        <w:tab/>
        <w:t xml:space="preserve">размещение настоящего постановления на </w:t>
      </w:r>
      <w:proofErr w:type="gramStart"/>
      <w:r w:rsidRPr="00AB448E">
        <w:rPr>
          <w:rFonts w:eastAsia="Calibri"/>
          <w:color w:val="auto"/>
          <w:sz w:val="28"/>
          <w:szCs w:val="22"/>
          <w:lang w:eastAsia="en-US"/>
        </w:rPr>
        <w:t>официальном</w:t>
      </w:r>
      <w:proofErr w:type="gramEnd"/>
      <w:r w:rsidRPr="00AB448E">
        <w:rPr>
          <w:rFonts w:eastAsia="Calibri"/>
          <w:color w:val="auto"/>
          <w:sz w:val="28"/>
          <w:szCs w:val="22"/>
          <w:lang w:eastAsia="en-US"/>
        </w:rPr>
        <w:t xml:space="preserve"> </w:t>
      </w:r>
      <w:proofErr w:type="spellStart"/>
      <w:r w:rsidRPr="00AB448E">
        <w:rPr>
          <w:rFonts w:eastAsia="Calibri"/>
          <w:color w:val="auto"/>
          <w:sz w:val="28"/>
          <w:szCs w:val="22"/>
          <w:lang w:eastAsia="en-US"/>
        </w:rPr>
        <w:t>интернет-ресурсе</w:t>
      </w:r>
      <w:proofErr w:type="spellEnd"/>
      <w:r w:rsidRPr="00AB448E">
        <w:rPr>
          <w:rFonts w:eastAsia="Calibri"/>
          <w:color w:val="auto"/>
          <w:sz w:val="28"/>
          <w:szCs w:val="22"/>
          <w:lang w:eastAsia="en-US"/>
        </w:rPr>
        <w:t xml:space="preserve"> Национального Банка Республики Казахстан после его официального опубликования.</w:t>
      </w:r>
    </w:p>
    <w:p w:rsidR="00BC6F22" w:rsidRPr="00AB448E" w:rsidRDefault="00BC6F22" w:rsidP="00BC6F22">
      <w:pPr>
        <w:jc w:val="both"/>
        <w:rPr>
          <w:rFonts w:eastAsia="Calibri"/>
          <w:color w:val="auto"/>
          <w:sz w:val="28"/>
          <w:szCs w:val="22"/>
          <w:lang w:eastAsia="en-US"/>
        </w:rPr>
      </w:pPr>
      <w:r w:rsidRPr="00AB448E">
        <w:rPr>
          <w:rFonts w:eastAsia="Calibri"/>
          <w:color w:val="auto"/>
          <w:sz w:val="28"/>
          <w:szCs w:val="22"/>
          <w:lang w:eastAsia="en-US"/>
        </w:rPr>
        <w:t xml:space="preserve">   </w:t>
      </w:r>
      <w:r w:rsidRPr="00AB448E">
        <w:rPr>
          <w:rFonts w:eastAsia="Calibri"/>
          <w:color w:val="auto"/>
          <w:sz w:val="28"/>
          <w:szCs w:val="22"/>
          <w:lang w:eastAsia="en-US"/>
        </w:rPr>
        <w:tab/>
        <w:t>6.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p w:rsidR="00BC6F22" w:rsidRPr="00AB448E" w:rsidRDefault="00BC6F22" w:rsidP="00BC6F22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7. </w:t>
      </w:r>
      <w:proofErr w:type="gramStart"/>
      <w:r w:rsidRPr="00AB448E">
        <w:rPr>
          <w:sz w:val="28"/>
          <w:szCs w:val="28"/>
        </w:rPr>
        <w:t>Контроль за</w:t>
      </w:r>
      <w:proofErr w:type="gramEnd"/>
      <w:r w:rsidRPr="00AB448E">
        <w:rPr>
          <w:sz w:val="28"/>
          <w:szCs w:val="28"/>
        </w:rPr>
        <w:t xml:space="preserve"> исполнением настоящего постановления возложить </w:t>
      </w:r>
      <w:r w:rsidRPr="00AB448E">
        <w:rPr>
          <w:sz w:val="28"/>
          <w:szCs w:val="28"/>
        </w:rPr>
        <w:br/>
        <w:t xml:space="preserve">на заместителя Председателя Национального Банка Республики Казахстан </w:t>
      </w:r>
      <w:proofErr w:type="spellStart"/>
      <w:r w:rsidRPr="00AB448E">
        <w:rPr>
          <w:sz w:val="28"/>
          <w:szCs w:val="28"/>
        </w:rPr>
        <w:t>Смолякова</w:t>
      </w:r>
      <w:proofErr w:type="spellEnd"/>
      <w:r w:rsidRPr="00AB448E">
        <w:rPr>
          <w:sz w:val="28"/>
          <w:szCs w:val="28"/>
        </w:rPr>
        <w:t xml:space="preserve"> О.А.</w:t>
      </w:r>
    </w:p>
    <w:p w:rsidR="00BC6F22" w:rsidRPr="00AB448E" w:rsidRDefault="00BC6F22" w:rsidP="00BC6F22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8. Настоящее постановление вводится в действие по истечении десяти календарных дней после дня его первого официального </w:t>
      </w:r>
      <w:bookmarkStart w:id="1" w:name="sub1004208816"/>
      <w:r w:rsidRPr="00AB448E">
        <w:rPr>
          <w:sz w:val="28"/>
          <w:szCs w:val="28"/>
        </w:rPr>
        <w:fldChar w:fldCharType="begin"/>
      </w:r>
      <w:r w:rsidRPr="00AB448E">
        <w:rPr>
          <w:sz w:val="28"/>
          <w:szCs w:val="28"/>
        </w:rPr>
        <w:instrText xml:space="preserve"> HYPERLINK "jl:31610439.0.1004208816_1" \o "СПРАВКА О ПОСТАНОВЛЕНИИ ПРАВЛЕНИЯ НБ РК ОТ 16.07.2014 № 146" </w:instrText>
      </w:r>
      <w:r w:rsidRPr="00AB448E">
        <w:rPr>
          <w:sz w:val="28"/>
          <w:szCs w:val="28"/>
        </w:rPr>
        <w:fldChar w:fldCharType="separate"/>
      </w:r>
      <w:r w:rsidRPr="00AB448E">
        <w:rPr>
          <w:sz w:val="28"/>
          <w:szCs w:val="28"/>
        </w:rPr>
        <w:t>опубликования</w:t>
      </w:r>
      <w:r w:rsidRPr="00AB448E">
        <w:rPr>
          <w:sz w:val="28"/>
          <w:szCs w:val="28"/>
        </w:rPr>
        <w:fldChar w:fldCharType="end"/>
      </w:r>
      <w:bookmarkEnd w:id="1"/>
      <w:r w:rsidRPr="00AB448E">
        <w:rPr>
          <w:sz w:val="28"/>
          <w:szCs w:val="28"/>
        </w:rPr>
        <w:t>.</w:t>
      </w:r>
    </w:p>
    <w:p w:rsidR="00BC6F22" w:rsidRPr="00AB448E" w:rsidRDefault="00BC6F22" w:rsidP="00BC6F22">
      <w:pPr>
        <w:ind w:firstLine="709"/>
        <w:jc w:val="both"/>
        <w:rPr>
          <w:rStyle w:val="s0"/>
          <w:sz w:val="28"/>
          <w:szCs w:val="28"/>
        </w:rPr>
      </w:pPr>
    </w:p>
    <w:p w:rsidR="000622C4" w:rsidRPr="00AB448E" w:rsidRDefault="000622C4" w:rsidP="00BC6F22">
      <w:pPr>
        <w:ind w:firstLine="709"/>
        <w:jc w:val="both"/>
        <w:rPr>
          <w:rStyle w:val="s0"/>
          <w:sz w:val="28"/>
          <w:szCs w:val="28"/>
        </w:rPr>
      </w:pPr>
    </w:p>
    <w:tbl>
      <w:tblPr>
        <w:tblpPr w:leftFromText="180" w:rightFromText="180" w:vertAnchor="text" w:horzAnchor="margin" w:tblpY="8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6"/>
        <w:gridCol w:w="4927"/>
      </w:tblGrid>
      <w:tr w:rsidR="00E03216" w:rsidRPr="00AB448E" w:rsidTr="00E03216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16" w:rsidRPr="00AB448E" w:rsidRDefault="00E03216" w:rsidP="00E03216">
            <w:pPr>
              <w:ind w:firstLine="993"/>
              <w:rPr>
                <w:sz w:val="28"/>
                <w:szCs w:val="28"/>
              </w:rPr>
            </w:pPr>
            <w:r w:rsidRPr="00AB448E">
              <w:rPr>
                <w:rStyle w:val="s0"/>
                <w:b/>
                <w:bCs/>
                <w:sz w:val="28"/>
                <w:szCs w:val="28"/>
              </w:rPr>
              <w:t>Председатель</w:t>
            </w:r>
          </w:p>
          <w:p w:rsidR="00E03216" w:rsidRPr="00AB448E" w:rsidRDefault="00E03216" w:rsidP="00E03216">
            <w:pPr>
              <w:ind w:firstLine="709"/>
              <w:rPr>
                <w:sz w:val="28"/>
                <w:szCs w:val="28"/>
              </w:rPr>
            </w:pPr>
            <w:r w:rsidRPr="00AB448E">
              <w:rPr>
                <w:rStyle w:val="s0"/>
                <w:b/>
                <w:bCs/>
                <w:sz w:val="28"/>
                <w:szCs w:val="28"/>
              </w:rPr>
              <w:t xml:space="preserve">Национального Банка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216" w:rsidRPr="00AB448E" w:rsidRDefault="00E03216" w:rsidP="00E03216">
            <w:pPr>
              <w:ind w:firstLine="709"/>
              <w:jc w:val="right"/>
              <w:rPr>
                <w:sz w:val="28"/>
                <w:szCs w:val="28"/>
              </w:rPr>
            </w:pPr>
            <w:r w:rsidRPr="00AB448E">
              <w:rPr>
                <w:rStyle w:val="s0"/>
                <w:b/>
                <w:bCs/>
                <w:sz w:val="28"/>
                <w:szCs w:val="28"/>
              </w:rPr>
              <w:t> </w:t>
            </w:r>
          </w:p>
          <w:p w:rsidR="00E03216" w:rsidRPr="00AB448E" w:rsidRDefault="00E03216" w:rsidP="00E03216">
            <w:pPr>
              <w:ind w:firstLine="709"/>
              <w:jc w:val="center"/>
              <w:rPr>
                <w:sz w:val="28"/>
                <w:szCs w:val="28"/>
              </w:rPr>
            </w:pPr>
            <w:r w:rsidRPr="00AB448E">
              <w:rPr>
                <w:rStyle w:val="s0"/>
                <w:b/>
                <w:bCs/>
                <w:sz w:val="28"/>
                <w:szCs w:val="28"/>
              </w:rPr>
              <w:t xml:space="preserve">                            Д. Акишев</w:t>
            </w:r>
          </w:p>
        </w:tc>
      </w:tr>
    </w:tbl>
    <w:p w:rsidR="006C004B" w:rsidRPr="00AB448E" w:rsidRDefault="006C004B">
      <w:r w:rsidRPr="00AB448E">
        <w:br w:type="page"/>
      </w:r>
    </w:p>
    <w:p w:rsidR="00EC6BEB" w:rsidRPr="00AB448E" w:rsidRDefault="00EC6BEB" w:rsidP="00EC6BEB">
      <w:pPr>
        <w:rPr>
          <w:vanish/>
        </w:rPr>
      </w:pPr>
      <w:bookmarkStart w:id="2" w:name="sub1002785755"/>
      <w:bookmarkEnd w:id="2"/>
    </w:p>
    <w:tbl>
      <w:tblPr>
        <w:tblpPr w:leftFromText="180" w:rightFromText="180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253"/>
      </w:tblGrid>
      <w:tr w:rsidR="00ED5010" w:rsidRPr="00AB448E" w:rsidTr="00EC6BEB">
        <w:tc>
          <w:tcPr>
            <w:tcW w:w="4253" w:type="dxa"/>
            <w:shd w:val="clear" w:color="auto" w:fill="auto"/>
          </w:tcPr>
          <w:p w:rsidR="00ED5010" w:rsidRPr="00AB448E" w:rsidRDefault="00ED5010" w:rsidP="00EC6BEB">
            <w:pPr>
              <w:jc w:val="both"/>
              <w:rPr>
                <w:sz w:val="28"/>
                <w:szCs w:val="28"/>
              </w:rPr>
            </w:pPr>
            <w:r w:rsidRPr="00AB448E">
              <w:rPr>
                <w:rStyle w:val="s0"/>
                <w:sz w:val="28"/>
                <w:szCs w:val="28"/>
              </w:rPr>
              <w:t>Утверждены</w:t>
            </w:r>
            <w:bookmarkStart w:id="3" w:name="sub1003725598"/>
            <w:r w:rsidRPr="00AB448E">
              <w:rPr>
                <w:sz w:val="28"/>
                <w:szCs w:val="28"/>
              </w:rPr>
              <w:t xml:space="preserve"> </w:t>
            </w:r>
            <w:hyperlink r:id="rId10" w:history="1">
              <w:r w:rsidRPr="00AB448E">
                <w:rPr>
                  <w:rStyle w:val="a3"/>
                  <w:b w:val="0"/>
                  <w:color w:val="000000"/>
                  <w:sz w:val="28"/>
                  <w:szCs w:val="28"/>
                  <w:u w:val="none"/>
                </w:rPr>
                <w:t>постановлением</w:t>
              </w:r>
            </w:hyperlink>
            <w:bookmarkEnd w:id="3"/>
            <w:r w:rsidRPr="00AB448E">
              <w:rPr>
                <w:rStyle w:val="s0"/>
                <w:b/>
                <w:sz w:val="28"/>
                <w:szCs w:val="28"/>
              </w:rPr>
              <w:t xml:space="preserve"> </w:t>
            </w:r>
            <w:r w:rsidRPr="00AB448E">
              <w:rPr>
                <w:rStyle w:val="s0"/>
                <w:sz w:val="28"/>
                <w:szCs w:val="28"/>
              </w:rPr>
              <w:t>Правления Национального Банка Республики Казахстан</w:t>
            </w:r>
          </w:p>
          <w:p w:rsidR="00ED5010" w:rsidRPr="00AB448E" w:rsidRDefault="00ED5010" w:rsidP="00EC6BEB">
            <w:pPr>
              <w:rPr>
                <w:sz w:val="28"/>
                <w:szCs w:val="28"/>
              </w:rPr>
            </w:pPr>
            <w:r w:rsidRPr="00AB448E">
              <w:rPr>
                <w:rStyle w:val="s0"/>
                <w:sz w:val="28"/>
                <w:szCs w:val="28"/>
              </w:rPr>
              <w:t>от «___» ____________ 2017 года № ____</w:t>
            </w:r>
          </w:p>
          <w:p w:rsidR="00ED5010" w:rsidRPr="00AB448E" w:rsidRDefault="00ED5010" w:rsidP="00EC6B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010" w:rsidRPr="00AB448E" w:rsidRDefault="00637838" w:rsidP="00637838">
      <w:pPr>
        <w:jc w:val="center"/>
        <w:rPr>
          <w:sz w:val="28"/>
          <w:szCs w:val="28"/>
        </w:rPr>
      </w:pPr>
      <w:r w:rsidRPr="00AB448E">
        <w:rPr>
          <w:rStyle w:val="s1"/>
          <w:sz w:val="28"/>
          <w:szCs w:val="28"/>
        </w:rPr>
        <w:t> </w:t>
      </w:r>
    </w:p>
    <w:p w:rsidR="00637838" w:rsidRPr="00AB448E" w:rsidRDefault="00637838" w:rsidP="00637838">
      <w:pPr>
        <w:jc w:val="center"/>
        <w:rPr>
          <w:sz w:val="28"/>
          <w:szCs w:val="28"/>
        </w:rPr>
      </w:pPr>
    </w:p>
    <w:p w:rsidR="00ED5010" w:rsidRPr="00AB448E" w:rsidRDefault="00ED5010" w:rsidP="006A622C">
      <w:pPr>
        <w:spacing w:line="276" w:lineRule="auto"/>
        <w:jc w:val="center"/>
        <w:rPr>
          <w:rStyle w:val="s1"/>
          <w:sz w:val="28"/>
          <w:szCs w:val="28"/>
        </w:rPr>
      </w:pPr>
    </w:p>
    <w:p w:rsidR="00ED5010" w:rsidRPr="00AB448E" w:rsidRDefault="00ED5010" w:rsidP="006A622C">
      <w:pPr>
        <w:spacing w:line="276" w:lineRule="auto"/>
        <w:jc w:val="center"/>
        <w:rPr>
          <w:rStyle w:val="s1"/>
          <w:sz w:val="28"/>
          <w:szCs w:val="28"/>
        </w:rPr>
      </w:pPr>
    </w:p>
    <w:p w:rsidR="00ED5010" w:rsidRPr="00AB448E" w:rsidRDefault="00ED5010" w:rsidP="006A622C">
      <w:pPr>
        <w:spacing w:line="276" w:lineRule="auto"/>
        <w:jc w:val="center"/>
        <w:rPr>
          <w:rStyle w:val="s1"/>
          <w:sz w:val="28"/>
          <w:szCs w:val="28"/>
        </w:rPr>
      </w:pPr>
    </w:p>
    <w:p w:rsidR="00ED5010" w:rsidRPr="00AB448E" w:rsidRDefault="00ED5010" w:rsidP="006A622C">
      <w:pPr>
        <w:spacing w:line="276" w:lineRule="auto"/>
        <w:jc w:val="center"/>
        <w:rPr>
          <w:rStyle w:val="s1"/>
          <w:sz w:val="28"/>
          <w:szCs w:val="28"/>
        </w:rPr>
      </w:pPr>
    </w:p>
    <w:p w:rsidR="003233C9" w:rsidRPr="00AB448E" w:rsidRDefault="003233C9" w:rsidP="006A622C">
      <w:pPr>
        <w:spacing w:line="276" w:lineRule="auto"/>
        <w:jc w:val="center"/>
        <w:rPr>
          <w:rStyle w:val="s1"/>
          <w:sz w:val="28"/>
          <w:szCs w:val="28"/>
        </w:rPr>
      </w:pPr>
    </w:p>
    <w:p w:rsidR="00637838" w:rsidRPr="00AB448E" w:rsidRDefault="00637838" w:rsidP="003233C9">
      <w:pPr>
        <w:jc w:val="center"/>
        <w:rPr>
          <w:sz w:val="28"/>
          <w:szCs w:val="28"/>
        </w:rPr>
      </w:pPr>
      <w:r w:rsidRPr="00AB448E">
        <w:rPr>
          <w:rStyle w:val="s1"/>
          <w:sz w:val="28"/>
          <w:szCs w:val="28"/>
        </w:rPr>
        <w:t>Правила применения мер раннего реагирования</w:t>
      </w:r>
      <w:r w:rsidRPr="00AB448E">
        <w:rPr>
          <w:b/>
          <w:bCs/>
          <w:sz w:val="28"/>
          <w:szCs w:val="28"/>
        </w:rPr>
        <w:br/>
      </w:r>
      <w:r w:rsidRPr="00AB448E">
        <w:rPr>
          <w:rStyle w:val="s1"/>
          <w:sz w:val="28"/>
          <w:szCs w:val="28"/>
        </w:rPr>
        <w:t>и методика определения факторов, влияющих на ухудшение финансового положения страховой (перестраховочной) организации (страховой группы)</w:t>
      </w:r>
    </w:p>
    <w:p w:rsidR="00637838" w:rsidRPr="00AB448E" w:rsidRDefault="00637838" w:rsidP="003233C9">
      <w:pPr>
        <w:ind w:firstLine="400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 </w:t>
      </w:r>
    </w:p>
    <w:p w:rsidR="00D83521" w:rsidRPr="00AB448E" w:rsidRDefault="00D83521" w:rsidP="003233C9">
      <w:pPr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proofErr w:type="gramStart"/>
      <w:r w:rsidRPr="00AB448E">
        <w:rPr>
          <w:rStyle w:val="s0"/>
          <w:sz w:val="28"/>
          <w:szCs w:val="28"/>
        </w:rPr>
        <w:t>Настоящие Правила применения мер раннего реагирования и методика определения факторов, влияющих на ухудшение финансового положения страховой (перестраховочной) организации (страховой группы) (далее - Правила) разработаны в соответствии с Законом Республики Казахстан от 18 декабря 2000 года «О страховой деятельности» (далее – Закон) и устанавливают порядок применения мер раннего реагирования и методику определения факторов, влияющих на ухудшение финансового положения страховой (перестраховочной) организации (страховой группы).</w:t>
      </w:r>
      <w:proofErr w:type="gramEnd"/>
    </w:p>
    <w:p w:rsidR="00D83521" w:rsidRPr="00AB448E" w:rsidRDefault="00D83521" w:rsidP="0075006C">
      <w:pPr>
        <w:ind w:firstLine="708"/>
        <w:contextualSpacing/>
        <w:jc w:val="both"/>
        <w:rPr>
          <w:rStyle w:val="s0"/>
          <w:sz w:val="28"/>
          <w:szCs w:val="28"/>
        </w:rPr>
      </w:pPr>
      <w:proofErr w:type="gramStart"/>
      <w:r w:rsidRPr="00AB448E">
        <w:rPr>
          <w:rStyle w:val="s0"/>
          <w:sz w:val="28"/>
          <w:szCs w:val="28"/>
        </w:rPr>
        <w:t>Уполномоченный орган, осуществляющий регулирование, контроль и надзор финансового рынка и финансовых организаций, (далее - уполномоченный орган) применяет к страховым (перестраховочным) организациям и страховым группам меры раннего реагирования при выявлении факторов, влияющих на ухудшение их финансового положения, предусмотренных подпунктами 1) и 2) пункта 1 статьи 53 Закона, подпунктами 1) и 2) пункта 2 статьи 53 Закона, а также пунктами 1 и 2</w:t>
      </w:r>
      <w:proofErr w:type="gramEnd"/>
      <w:r w:rsidRPr="00AB448E">
        <w:rPr>
          <w:rStyle w:val="s0"/>
          <w:sz w:val="28"/>
          <w:szCs w:val="28"/>
        </w:rPr>
        <w:t xml:space="preserve"> настоящего постановления.</w:t>
      </w:r>
    </w:p>
    <w:p w:rsidR="00D83521" w:rsidRPr="00AB448E" w:rsidRDefault="00D83521" w:rsidP="0075006C">
      <w:pPr>
        <w:ind w:firstLine="708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2. </w:t>
      </w:r>
      <w:proofErr w:type="gramStart"/>
      <w:r w:rsidRPr="00AB448E">
        <w:rPr>
          <w:rStyle w:val="s0"/>
          <w:sz w:val="28"/>
          <w:szCs w:val="28"/>
        </w:rPr>
        <w:t xml:space="preserve">Уполномоченный орган для выявления факторов, влияющих на ухудшение финансового положения, предусмотренных подпунктами 1) и 2) пункта 1 статьи 53 Закона, подпунктами 1) и 2) пункта 2 статьи 53 Закона, </w:t>
      </w:r>
      <w:r w:rsidR="0074501A" w:rsidRPr="00AB448E">
        <w:rPr>
          <w:rStyle w:val="s0"/>
          <w:sz w:val="28"/>
          <w:szCs w:val="28"/>
        </w:rPr>
        <w:br/>
      </w:r>
      <w:r w:rsidRPr="00AB448E">
        <w:rPr>
          <w:rStyle w:val="s0"/>
          <w:sz w:val="28"/>
          <w:szCs w:val="28"/>
        </w:rPr>
        <w:t xml:space="preserve">а также пунктами 1 и 2 настоящего постановления, осуществляет анализ деятельности на основании данных </w:t>
      </w:r>
      <w:r w:rsidRPr="00AB448E">
        <w:rPr>
          <w:spacing w:val="2"/>
          <w:sz w:val="28"/>
          <w:szCs w:val="28"/>
          <w:shd w:val="clear" w:color="auto" w:fill="FFFFFF"/>
        </w:rPr>
        <w:t xml:space="preserve">финансовой и (или) иной </w:t>
      </w:r>
      <w:r w:rsidRPr="00AB448E">
        <w:rPr>
          <w:sz w:val="28"/>
          <w:szCs w:val="28"/>
        </w:rPr>
        <w:t>отчетност</w:t>
      </w:r>
      <w:r w:rsidRPr="00AB448E">
        <w:rPr>
          <w:spacing w:val="2"/>
          <w:sz w:val="28"/>
          <w:szCs w:val="28"/>
          <w:shd w:val="clear" w:color="auto" w:fill="FFFFFF"/>
        </w:rPr>
        <w:t>и</w:t>
      </w:r>
      <w:r w:rsidRPr="00AB448E">
        <w:rPr>
          <w:rStyle w:val="s0"/>
          <w:sz w:val="28"/>
          <w:szCs w:val="28"/>
        </w:rPr>
        <w:t>:</w:t>
      </w:r>
      <w:proofErr w:type="gramEnd"/>
    </w:p>
    <w:p w:rsidR="00D83521" w:rsidRPr="00AB448E" w:rsidRDefault="00D83521" w:rsidP="0075006C">
      <w:pPr>
        <w:ind w:firstLine="708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страховой (перестраховочной) организации на ежемесячной основе;</w:t>
      </w:r>
    </w:p>
    <w:p w:rsidR="00D83521" w:rsidRPr="00AB448E" w:rsidRDefault="00D83521" w:rsidP="0075006C">
      <w:pPr>
        <w:ind w:firstLine="708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страховой группы на ежеквартальной основе.</w:t>
      </w:r>
    </w:p>
    <w:p w:rsidR="00D83521" w:rsidRPr="00AB448E" w:rsidRDefault="00D83521" w:rsidP="0075006C">
      <w:pPr>
        <w:ind w:firstLine="709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3. </w:t>
      </w:r>
      <w:proofErr w:type="gramStart"/>
      <w:r w:rsidRPr="00AB448E">
        <w:rPr>
          <w:rStyle w:val="s0"/>
          <w:sz w:val="28"/>
          <w:szCs w:val="28"/>
        </w:rPr>
        <w:t xml:space="preserve">В случае выявления факторов, влияющих на ухудшение финансового положения страховой (перестраховочной) организации (страховой группы), предусмотренных подпунктами 1) и 2) пункта 1 статьи 53 Закона, подпунктами 1) и 2) пункта 2 статьи 53 Закона, а также пунктами 1 и 2 настоящего постановления, уполномоченный орган </w:t>
      </w:r>
      <w:r w:rsidR="00BE2278" w:rsidRPr="00AB448E">
        <w:rPr>
          <w:rStyle w:val="s0"/>
          <w:sz w:val="28"/>
          <w:szCs w:val="28"/>
          <w:lang w:val="kk-KZ"/>
        </w:rPr>
        <w:t>направляет</w:t>
      </w:r>
      <w:r w:rsidRPr="00AB448E">
        <w:rPr>
          <w:rStyle w:val="s0"/>
          <w:sz w:val="28"/>
          <w:szCs w:val="28"/>
        </w:rPr>
        <w:t xml:space="preserve"> требования, предусмотренные пунктами 3 и 4 статьи 53 Закона.</w:t>
      </w:r>
      <w:proofErr w:type="gramEnd"/>
    </w:p>
    <w:p w:rsidR="00D83521" w:rsidRPr="00AB448E" w:rsidRDefault="00D83521" w:rsidP="003233C9">
      <w:pPr>
        <w:ind w:firstLine="708"/>
        <w:jc w:val="both"/>
        <w:rPr>
          <w:sz w:val="28"/>
          <w:szCs w:val="28"/>
        </w:rPr>
      </w:pPr>
      <w:proofErr w:type="gramStart"/>
      <w:r w:rsidRPr="00AB448E">
        <w:rPr>
          <w:rStyle w:val="s0"/>
          <w:sz w:val="28"/>
          <w:szCs w:val="28"/>
        </w:rPr>
        <w:t xml:space="preserve">Страховая (перестраховочная) организация и (или) ее акционеры, страховой холдинг и (или) его крупные участники в срок не более 5 (пяти) </w:t>
      </w:r>
      <w:r w:rsidRPr="00AB448E">
        <w:rPr>
          <w:rStyle w:val="s0"/>
          <w:sz w:val="28"/>
          <w:szCs w:val="28"/>
        </w:rPr>
        <w:lastRenderedPageBreak/>
        <w:t>рабочих дней со дня получения требования уполномоченного органа разрабатывают и представляют в уполномоченный орган план мероприятий, предусматривающий меры раннего реагирования по повышению финансовой устойчивости страховой (перестраховочной) организации, недопущению ухудшения ее финансового положения и увеличения рисков, связанных со страховой деятельностью</w:t>
      </w:r>
      <w:r w:rsidR="0052154D" w:rsidRPr="00AB448E">
        <w:rPr>
          <w:rStyle w:val="s0"/>
          <w:sz w:val="28"/>
          <w:szCs w:val="28"/>
        </w:rPr>
        <w:t>,</w:t>
      </w:r>
      <w:r w:rsidRPr="00AB448E">
        <w:rPr>
          <w:rStyle w:val="s0"/>
          <w:sz w:val="28"/>
          <w:szCs w:val="28"/>
        </w:rPr>
        <w:t xml:space="preserve"> (далее</w:t>
      </w:r>
      <w:proofErr w:type="gramEnd"/>
      <w:r w:rsidRPr="00AB448E">
        <w:rPr>
          <w:rStyle w:val="s0"/>
          <w:sz w:val="28"/>
          <w:szCs w:val="28"/>
        </w:rPr>
        <w:t xml:space="preserve"> – план мероприятий)</w:t>
      </w:r>
      <w:r w:rsidR="0052154D" w:rsidRPr="00AB448E">
        <w:rPr>
          <w:rStyle w:val="s0"/>
          <w:sz w:val="28"/>
          <w:szCs w:val="28"/>
        </w:rPr>
        <w:t>,</w:t>
      </w:r>
      <w:r w:rsidRPr="00AB448E">
        <w:rPr>
          <w:rStyle w:val="s0"/>
          <w:sz w:val="28"/>
          <w:szCs w:val="28"/>
        </w:rPr>
        <w:t xml:space="preserve"> который содержит:</w:t>
      </w:r>
    </w:p>
    <w:p w:rsidR="00D83521" w:rsidRPr="00AB448E" w:rsidRDefault="00D83521" w:rsidP="003233C9">
      <w:pPr>
        <w:ind w:firstLine="708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детальный анализ фактора, влияющего на ухудшение финансового положения страховой (перестраховочной) организации, страховой группы;</w:t>
      </w:r>
    </w:p>
    <w:p w:rsidR="00D83521" w:rsidRPr="00AB448E" w:rsidRDefault="00D83521" w:rsidP="003233C9">
      <w:pPr>
        <w:ind w:firstLine="708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прогноз данного фактора</w:t>
      </w:r>
      <w:r w:rsidR="00BE2278" w:rsidRPr="00AB448E">
        <w:rPr>
          <w:rStyle w:val="s0"/>
          <w:sz w:val="28"/>
          <w:szCs w:val="28"/>
          <w:lang w:val="kk-KZ"/>
        </w:rPr>
        <w:t>,</w:t>
      </w:r>
      <w:r w:rsidR="00BE2278" w:rsidRPr="00AB448E">
        <w:rPr>
          <w:sz w:val="28"/>
          <w:szCs w:val="26"/>
        </w:rPr>
        <w:t xml:space="preserve"> требующих достижения количественных показателей на ежемесячной основе</w:t>
      </w:r>
      <w:r w:rsidRPr="00AB448E">
        <w:rPr>
          <w:rStyle w:val="s0"/>
          <w:sz w:val="28"/>
          <w:szCs w:val="28"/>
        </w:rPr>
        <w:t>, обоснование данного прогноза и негативные влияния на деятельность страховой (перестраховочной) организации, страховой группы;</w:t>
      </w:r>
      <w:r w:rsidR="00BE2278" w:rsidRPr="00AB448E">
        <w:rPr>
          <w:sz w:val="28"/>
          <w:szCs w:val="26"/>
        </w:rPr>
        <w:t xml:space="preserve"> </w:t>
      </w:r>
    </w:p>
    <w:p w:rsidR="00D83521" w:rsidRPr="00AB448E" w:rsidRDefault="00D83521" w:rsidP="003233C9">
      <w:pPr>
        <w:ind w:firstLine="708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меры по улучшению данного фактора, то есть доведению до уровня, не представляющего угрозу (дополнительные риски) для деятельности страховой (перестраховочной) организации, страховой группы;</w:t>
      </w:r>
    </w:p>
    <w:p w:rsidR="00D83521" w:rsidRPr="00AB448E" w:rsidRDefault="00D83521" w:rsidP="003233C9">
      <w:pPr>
        <w:ind w:firstLine="708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сроки исполнения плана мероприятий по каждому его пункту;</w:t>
      </w:r>
    </w:p>
    <w:p w:rsidR="00D83521" w:rsidRPr="00AB448E" w:rsidRDefault="00D83521" w:rsidP="003233C9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перечень должностных лиц, ответственных за исполнение плана мероприятий (с указанием должностных лиц, ответственных за исполнение по каждому пункту плана мероприятий).</w:t>
      </w:r>
    </w:p>
    <w:p w:rsidR="00D83521" w:rsidRPr="00AB448E" w:rsidRDefault="00D83521" w:rsidP="003233C9">
      <w:pPr>
        <w:ind w:firstLine="708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Уполномоченный орган проводит предварительное рассмотрение плана мероприятий в течение 10 (десяти) рабочих дней </w:t>
      </w:r>
      <w:proofErr w:type="gramStart"/>
      <w:r w:rsidRPr="00AB448E">
        <w:rPr>
          <w:rStyle w:val="s0"/>
          <w:sz w:val="28"/>
          <w:szCs w:val="28"/>
        </w:rPr>
        <w:t>с даты</w:t>
      </w:r>
      <w:proofErr w:type="gramEnd"/>
      <w:r w:rsidRPr="00AB448E">
        <w:rPr>
          <w:rStyle w:val="s0"/>
          <w:sz w:val="28"/>
          <w:szCs w:val="28"/>
        </w:rPr>
        <w:t xml:space="preserve"> его представления страховой (перестраховочной) организацией и (или) ее акционерами, страховым холдингом и (или) его крупными участниками.</w:t>
      </w:r>
    </w:p>
    <w:p w:rsidR="00D83521" w:rsidRPr="00AB448E" w:rsidRDefault="00D83521" w:rsidP="003233C9">
      <w:pPr>
        <w:ind w:firstLine="708"/>
        <w:jc w:val="both"/>
        <w:rPr>
          <w:sz w:val="28"/>
          <w:szCs w:val="28"/>
        </w:rPr>
      </w:pPr>
      <w:proofErr w:type="gramStart"/>
      <w:r w:rsidRPr="00AB448E">
        <w:rPr>
          <w:rStyle w:val="s0"/>
          <w:sz w:val="28"/>
          <w:szCs w:val="28"/>
        </w:rPr>
        <w:t>При несогласии уполномоченного органа с планом мероприятий, предоставленным страховой (перестраховочной) организацией и (или) ее акционерами, страховым холдингом и (или) его крупными участниками на рассмотрение, уполномоченный орган и страховая (перестраховочная) организация и (или) ее акционеры, страховой холдинг и (или) его крупные участники проводят совместные обсуждения с целью доработки плана мероприятий.</w:t>
      </w:r>
      <w:proofErr w:type="gramEnd"/>
      <w:r w:rsidRPr="00AB448E">
        <w:rPr>
          <w:rStyle w:val="s0"/>
          <w:sz w:val="28"/>
          <w:szCs w:val="28"/>
        </w:rPr>
        <w:t xml:space="preserve"> При этом страховая (перестраховочная) организация и (или) ее акционеры, страховой холдинг и (или) его крупные участники корректируют план мероприятий для устранения замечаний уполномоченного органа или при несогласии с такими замечаниями предоставляют свои обоснования.</w:t>
      </w:r>
    </w:p>
    <w:p w:rsidR="00D83521" w:rsidRPr="00AB448E" w:rsidRDefault="00D83521" w:rsidP="003233C9">
      <w:pPr>
        <w:ind w:firstLine="709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Уполномоченный орган одобряет или не одобряет доработанный план мероприятий в течение 5 (пяти) рабочих дней </w:t>
      </w:r>
      <w:proofErr w:type="gramStart"/>
      <w:r w:rsidRPr="00AB448E">
        <w:rPr>
          <w:rStyle w:val="s0"/>
          <w:sz w:val="28"/>
          <w:szCs w:val="28"/>
        </w:rPr>
        <w:t>с даты</w:t>
      </w:r>
      <w:proofErr w:type="gramEnd"/>
      <w:r w:rsidRPr="00AB448E">
        <w:rPr>
          <w:rStyle w:val="s0"/>
          <w:sz w:val="28"/>
          <w:szCs w:val="28"/>
        </w:rPr>
        <w:t xml:space="preserve"> его представления либо с даты получения обоснований несогласия с замечаниями уполномоченного органа.</w:t>
      </w:r>
    </w:p>
    <w:p w:rsidR="00D83521" w:rsidRPr="00AB448E" w:rsidRDefault="00D83521" w:rsidP="003233C9">
      <w:pPr>
        <w:ind w:firstLine="709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При одобрении представленного плана </w:t>
      </w:r>
      <w:proofErr w:type="gramStart"/>
      <w:r w:rsidRPr="00AB448E">
        <w:rPr>
          <w:rStyle w:val="s0"/>
          <w:sz w:val="28"/>
          <w:szCs w:val="28"/>
        </w:rPr>
        <w:t>мероприятий</w:t>
      </w:r>
      <w:proofErr w:type="gramEnd"/>
      <w:r w:rsidRPr="00AB448E">
        <w:rPr>
          <w:rStyle w:val="s0"/>
          <w:sz w:val="28"/>
          <w:szCs w:val="28"/>
        </w:rPr>
        <w:t xml:space="preserve"> уполномоченным органом страховая (перестраховочная) организация и (или) ее акционеры, страховой холдинг и (или) его крупные участники приступают к его реализации и представляют в уполномоченный орган отчет о выполнении мероприятий в сроки, установленные планом мероприятий.</w:t>
      </w:r>
    </w:p>
    <w:p w:rsidR="00F26466" w:rsidRPr="00AB448E" w:rsidRDefault="00F26466" w:rsidP="00F26466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lastRenderedPageBreak/>
        <w:t xml:space="preserve">При </w:t>
      </w:r>
      <w:proofErr w:type="spellStart"/>
      <w:r w:rsidRPr="00AB448E">
        <w:rPr>
          <w:rStyle w:val="s0"/>
          <w:sz w:val="28"/>
          <w:szCs w:val="28"/>
        </w:rPr>
        <w:t>неустранении</w:t>
      </w:r>
      <w:proofErr w:type="spellEnd"/>
      <w:r w:rsidRPr="00AB448E">
        <w:rPr>
          <w:rStyle w:val="s0"/>
          <w:sz w:val="28"/>
          <w:szCs w:val="28"/>
        </w:rPr>
        <w:t xml:space="preserve"> фактора (факторов), влияющег</w:t>
      </w:r>
      <w:proofErr w:type="gramStart"/>
      <w:r w:rsidRPr="00AB448E">
        <w:rPr>
          <w:rStyle w:val="s0"/>
          <w:sz w:val="28"/>
          <w:szCs w:val="28"/>
        </w:rPr>
        <w:t>о(</w:t>
      </w:r>
      <w:proofErr w:type="gramEnd"/>
      <w:r w:rsidRPr="00AB448E">
        <w:rPr>
          <w:rStyle w:val="s0"/>
          <w:sz w:val="28"/>
          <w:szCs w:val="28"/>
        </w:rPr>
        <w:t xml:space="preserve">их) на ухудшение финансового положения страховой (перестраховочной) организации (страховой группы) после завершения сроков </w:t>
      </w:r>
      <w:r w:rsidR="00BE2278" w:rsidRPr="00AB448E">
        <w:rPr>
          <w:rStyle w:val="s0"/>
          <w:sz w:val="28"/>
          <w:szCs w:val="28"/>
          <w:lang w:val="kk-KZ"/>
        </w:rPr>
        <w:t>выполнения</w:t>
      </w:r>
      <w:r w:rsidRPr="00AB448E">
        <w:rPr>
          <w:rStyle w:val="s0"/>
          <w:sz w:val="28"/>
          <w:szCs w:val="28"/>
        </w:rPr>
        <w:t xml:space="preserve"> мероприятий соответствующего(их) плана(</w:t>
      </w:r>
      <w:proofErr w:type="spellStart"/>
      <w:r w:rsidRPr="00AB448E">
        <w:rPr>
          <w:rStyle w:val="s0"/>
          <w:sz w:val="28"/>
          <w:szCs w:val="28"/>
        </w:rPr>
        <w:t>ов</w:t>
      </w:r>
      <w:proofErr w:type="spellEnd"/>
      <w:r w:rsidRPr="00AB448E">
        <w:rPr>
          <w:rStyle w:val="s0"/>
          <w:sz w:val="28"/>
          <w:szCs w:val="28"/>
        </w:rPr>
        <w:t xml:space="preserve">), к страховой (перестраховочной) организации (страховому холдингу)  и/или руководящим работникам страховой (перестраховочной) организации (страхового </w:t>
      </w:r>
      <w:proofErr w:type="spellStart"/>
      <w:r w:rsidRPr="00AB448E">
        <w:rPr>
          <w:rStyle w:val="s0"/>
          <w:sz w:val="28"/>
          <w:szCs w:val="28"/>
        </w:rPr>
        <w:t>ходдинга</w:t>
      </w:r>
      <w:proofErr w:type="spellEnd"/>
      <w:r w:rsidRPr="00AB448E">
        <w:rPr>
          <w:rStyle w:val="s0"/>
          <w:sz w:val="28"/>
          <w:szCs w:val="28"/>
        </w:rPr>
        <w:t xml:space="preserve">) </w:t>
      </w:r>
      <w:hyperlink r:id="rId11" w:history="1">
        <w:r w:rsidRPr="00AB448E">
          <w:rPr>
            <w:rStyle w:val="s0"/>
            <w:sz w:val="28"/>
            <w:szCs w:val="28"/>
          </w:rPr>
          <w:t>применяются</w:t>
        </w:r>
      </w:hyperlink>
      <w:r w:rsidRPr="00AB448E">
        <w:rPr>
          <w:rStyle w:val="s0"/>
          <w:sz w:val="28"/>
          <w:szCs w:val="28"/>
        </w:rPr>
        <w:t xml:space="preserve"> ограниченные меры воздействия и/или санкция, предусмотренная  подпунктом 5) пункта 2 статьи 53-3 Закона.</w:t>
      </w:r>
    </w:p>
    <w:p w:rsidR="00D83521" w:rsidRPr="00AB448E" w:rsidRDefault="00D83521" w:rsidP="003233C9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При неодобрении </w:t>
      </w:r>
      <w:r w:rsidR="0052154D" w:rsidRPr="00AB448E">
        <w:rPr>
          <w:rStyle w:val="s0"/>
          <w:sz w:val="28"/>
          <w:szCs w:val="28"/>
        </w:rPr>
        <w:t xml:space="preserve">представленного </w:t>
      </w:r>
      <w:r w:rsidRPr="00AB448E">
        <w:rPr>
          <w:rStyle w:val="s0"/>
          <w:sz w:val="28"/>
          <w:szCs w:val="28"/>
        </w:rPr>
        <w:t>плана мероприятий уполномоченный орган применяет одну или несколько мер раннего реагирования:</w:t>
      </w:r>
    </w:p>
    <w:p w:rsidR="00D83521" w:rsidRPr="00AB448E" w:rsidRDefault="00D83521" w:rsidP="003233C9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к страховой (перестраховочной) организации и (или) ее акционерам посредством предъявления требований, </w:t>
      </w:r>
      <w:bookmarkStart w:id="4" w:name="sub1000066894"/>
      <w:r w:rsidR="0052154D" w:rsidRPr="00AB448E">
        <w:rPr>
          <w:rStyle w:val="s0"/>
          <w:sz w:val="28"/>
          <w:szCs w:val="28"/>
        </w:rPr>
        <w:t xml:space="preserve">предусмотренных </w:t>
      </w:r>
      <w:r w:rsidRPr="00AB448E">
        <w:rPr>
          <w:rStyle w:val="s0"/>
          <w:sz w:val="28"/>
          <w:szCs w:val="28"/>
        </w:rPr>
        <w:t>частью четвертой пункта 3 статьи 53</w:t>
      </w:r>
      <w:bookmarkEnd w:id="4"/>
      <w:r w:rsidRPr="00AB448E">
        <w:rPr>
          <w:rStyle w:val="s0"/>
          <w:sz w:val="28"/>
          <w:szCs w:val="28"/>
        </w:rPr>
        <w:t xml:space="preserve"> Закона;</w:t>
      </w:r>
    </w:p>
    <w:p w:rsidR="00D83521" w:rsidRPr="00AB448E" w:rsidRDefault="00D83521" w:rsidP="003233C9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к страховому холдингу и (или) его крупным участникам посредством предъявления требований, предусмотренных частью четвертой пункта 4 статьи 53 Закона.</w:t>
      </w:r>
    </w:p>
    <w:p w:rsidR="00D83521" w:rsidRPr="00AB448E" w:rsidRDefault="00D83521" w:rsidP="003233C9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4. </w:t>
      </w:r>
      <w:proofErr w:type="gramStart"/>
      <w:r w:rsidRPr="00AB448E">
        <w:rPr>
          <w:rStyle w:val="s0"/>
          <w:sz w:val="28"/>
          <w:szCs w:val="28"/>
        </w:rPr>
        <w:t>В случае самостоятельного выявлении факторов, предусмотренных подпунктами 1) и 2) пункта 1 статьи 53 Закона, подпунктами 1) и 2) пункта 2 статьи 53 Закона, а также пунктами 1 и 2 настоящего постановления, страховая (перестраховочная) организация и (или) ее акционеры, страховой холдинг и (или) его крупные участники в течение 5 (пяти) рабочих дней со дня выявления указанных факторов представляют в уполномоченный</w:t>
      </w:r>
      <w:proofErr w:type="gramEnd"/>
      <w:r w:rsidRPr="00AB448E">
        <w:rPr>
          <w:rStyle w:val="s0"/>
          <w:sz w:val="28"/>
          <w:szCs w:val="28"/>
        </w:rPr>
        <w:t xml:space="preserve"> орган информацию, отражающую состояние ухудшения финансового положения страховой (перестраховочной) организации, страховой группы, с приложением плана мероприятий, предусмотренного частью второй пункта 3 Правил.</w:t>
      </w:r>
    </w:p>
    <w:p w:rsidR="00D83521" w:rsidRPr="00AB448E" w:rsidRDefault="00D83521" w:rsidP="00D83521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5. </w:t>
      </w:r>
      <w:proofErr w:type="gramStart"/>
      <w:r w:rsidRPr="00AB448E">
        <w:rPr>
          <w:sz w:val="28"/>
          <w:szCs w:val="28"/>
        </w:rPr>
        <w:t xml:space="preserve">При выявлении факторов, предусмотренных </w:t>
      </w:r>
      <w:r w:rsidR="00E64561" w:rsidRPr="00AB448E">
        <w:rPr>
          <w:rStyle w:val="s0"/>
          <w:sz w:val="28"/>
          <w:szCs w:val="28"/>
        </w:rPr>
        <w:t>подпунктами 1) и 2) пункта 1 статьи 53 Закона, пункт</w:t>
      </w:r>
      <w:r w:rsidR="00795340" w:rsidRPr="00AB448E">
        <w:rPr>
          <w:rStyle w:val="s0"/>
          <w:sz w:val="28"/>
          <w:szCs w:val="28"/>
        </w:rPr>
        <w:t>о</w:t>
      </w:r>
      <w:r w:rsidR="00E64561" w:rsidRPr="00AB448E">
        <w:rPr>
          <w:rStyle w:val="s0"/>
          <w:sz w:val="28"/>
          <w:szCs w:val="28"/>
        </w:rPr>
        <w:t>м</w:t>
      </w:r>
      <w:r w:rsidR="00795340" w:rsidRPr="00AB448E">
        <w:rPr>
          <w:rStyle w:val="s0"/>
          <w:sz w:val="28"/>
          <w:szCs w:val="28"/>
        </w:rPr>
        <w:t xml:space="preserve"> </w:t>
      </w:r>
      <w:r w:rsidR="00E64561" w:rsidRPr="00AB448E">
        <w:rPr>
          <w:rStyle w:val="s0"/>
          <w:sz w:val="28"/>
          <w:szCs w:val="28"/>
        </w:rPr>
        <w:t>1 настоящего постановления</w:t>
      </w:r>
      <w:r w:rsidRPr="00AB448E">
        <w:rPr>
          <w:sz w:val="28"/>
          <w:szCs w:val="28"/>
        </w:rPr>
        <w:t>, представление плана мероприятий не требуется по страховым (перестраховочным) организациям, в отношении которых действуют санкции в виде приостановления действия лицензии по всем классам страхования, консервации, принудительного выкупа акций, а также в случае подачи в уполномоченный орган ходатайства на получение разрешения на проведение добровольной реорганизации</w:t>
      </w:r>
      <w:proofErr w:type="gramEnd"/>
      <w:r w:rsidRPr="00AB448E">
        <w:rPr>
          <w:sz w:val="28"/>
          <w:szCs w:val="28"/>
        </w:rPr>
        <w:t xml:space="preserve"> либо ликвидации страховой (перестраховочной) организации.</w:t>
      </w:r>
    </w:p>
    <w:p w:rsidR="00E021F3" w:rsidRPr="00AB448E" w:rsidRDefault="0052154D" w:rsidP="00F262FE">
      <w:pPr>
        <w:ind w:firstLine="709"/>
        <w:jc w:val="both"/>
        <w:rPr>
          <w:sz w:val="28"/>
          <w:szCs w:val="28"/>
        </w:rPr>
      </w:pPr>
      <w:bookmarkStart w:id="5" w:name="SUB101"/>
      <w:bookmarkStart w:id="6" w:name="SUB400"/>
      <w:bookmarkStart w:id="7" w:name="SUB500"/>
      <w:bookmarkEnd w:id="5"/>
      <w:bookmarkEnd w:id="6"/>
      <w:bookmarkEnd w:id="7"/>
      <w:r w:rsidRPr="00AB448E">
        <w:rPr>
          <w:sz w:val="28"/>
          <w:szCs w:val="28"/>
        </w:rPr>
        <w:t>6</w:t>
      </w:r>
      <w:r w:rsidR="00E021F3" w:rsidRPr="00AB448E">
        <w:rPr>
          <w:sz w:val="28"/>
          <w:szCs w:val="28"/>
        </w:rPr>
        <w:t xml:space="preserve">. </w:t>
      </w:r>
      <w:proofErr w:type="gramStart"/>
      <w:r w:rsidR="00F262FE" w:rsidRPr="00AB448E">
        <w:rPr>
          <w:sz w:val="28"/>
          <w:szCs w:val="28"/>
        </w:rPr>
        <w:t>Определение факторов, влияющих на ухудшение финансового положения страховой (перестраховочной) организации, предусмотренных подпунктами 1) и 2) пункта 1 статьи 53 Закона, а также пункта 1 настоящего постановления, осуществляется по следующей методике:</w:t>
      </w:r>
      <w:proofErr w:type="gramEnd"/>
    </w:p>
    <w:p w:rsidR="00BE2278" w:rsidRPr="00AB448E" w:rsidRDefault="00B533AF" w:rsidP="00BE227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rStyle w:val="s0"/>
          <w:sz w:val="28"/>
          <w:szCs w:val="28"/>
        </w:rPr>
        <w:t xml:space="preserve">1) </w:t>
      </w:r>
      <w:r w:rsidR="00F02CD5" w:rsidRPr="00AB448E">
        <w:rPr>
          <w:sz w:val="28"/>
          <w:szCs w:val="28"/>
          <w:lang w:val="kk-KZ"/>
        </w:rPr>
        <w:t>снижение</w:t>
      </w:r>
      <w:r w:rsidR="00BE2278" w:rsidRPr="00AB448E">
        <w:rPr>
          <w:sz w:val="28"/>
          <w:szCs w:val="28"/>
        </w:rPr>
        <w:t xml:space="preserve"> норматива достаточности маржи платежеспособности ниже уровня, превышающего минимальное значение норматива достаточности маржи платежеспособности, установленного </w:t>
      </w:r>
      <w:bookmarkStart w:id="8" w:name="sub1002371352"/>
      <w:r w:rsidR="00BE2278" w:rsidRPr="00AB448E">
        <w:rPr>
          <w:sz w:val="28"/>
          <w:szCs w:val="28"/>
        </w:rPr>
        <w:t xml:space="preserve">постановлением </w:t>
      </w:r>
      <w:bookmarkEnd w:id="8"/>
      <w:r w:rsidR="00BE2278" w:rsidRPr="00AB448E">
        <w:rPr>
          <w:sz w:val="28"/>
          <w:szCs w:val="28"/>
        </w:rPr>
        <w:t>№ 304</w:t>
      </w:r>
      <w:r w:rsidR="006C004B" w:rsidRPr="00AB448E">
        <w:rPr>
          <w:sz w:val="28"/>
          <w:szCs w:val="28"/>
        </w:rPr>
        <w:t>:</w:t>
      </w:r>
    </w:p>
    <w:p w:rsidR="00AC7738" w:rsidRPr="00AB448E" w:rsidRDefault="00AC7738" w:rsidP="00AC773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</w:t>
      </w:r>
      <w:r w:rsidR="000433F7" w:rsidRPr="00AB448E">
        <w:rPr>
          <w:sz w:val="28"/>
          <w:szCs w:val="28"/>
          <w:lang w:val="kk-KZ"/>
        </w:rPr>
        <w:t>20</w:t>
      </w:r>
      <w:r w:rsidRPr="00AB448E">
        <w:rPr>
          <w:sz w:val="28"/>
          <w:szCs w:val="28"/>
          <w:lang w:val="kk-KZ"/>
        </w:rPr>
        <w:t xml:space="preserve"> года:</w:t>
      </w:r>
    </w:p>
    <w:p w:rsidR="00AC7738" w:rsidRPr="00AB448E" w:rsidRDefault="00AC7738" w:rsidP="00AC773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 xml:space="preserve">на </w:t>
      </w:r>
      <w:r w:rsidRPr="00AB448E">
        <w:rPr>
          <w:sz w:val="28"/>
          <w:szCs w:val="28"/>
        </w:rPr>
        <w:t>0,</w:t>
      </w:r>
      <w:r w:rsidR="000433F7" w:rsidRPr="00AB448E">
        <w:rPr>
          <w:sz w:val="28"/>
          <w:szCs w:val="28"/>
        </w:rPr>
        <w:t>1</w:t>
      </w:r>
      <w:r w:rsidRPr="00AB448E">
        <w:rPr>
          <w:sz w:val="28"/>
          <w:szCs w:val="28"/>
        </w:rPr>
        <w:t xml:space="preserve"> пункта;</w:t>
      </w:r>
    </w:p>
    <w:p w:rsidR="00AC7738" w:rsidRPr="00AB448E" w:rsidRDefault="000433F7" w:rsidP="00AC773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lastRenderedPageBreak/>
        <w:t>до 1 января 2022</w:t>
      </w:r>
      <w:r w:rsidR="00AC7738" w:rsidRPr="00AB448E">
        <w:rPr>
          <w:sz w:val="28"/>
          <w:szCs w:val="28"/>
          <w:lang w:val="kk-KZ"/>
        </w:rPr>
        <w:t xml:space="preserve"> года:</w:t>
      </w:r>
    </w:p>
    <w:p w:rsidR="00AC7738" w:rsidRPr="00AB448E" w:rsidRDefault="00AC7738" w:rsidP="00AC773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на 0,</w:t>
      </w:r>
      <w:r w:rsidR="000433F7" w:rsidRPr="00AB448E">
        <w:rPr>
          <w:sz w:val="28"/>
          <w:szCs w:val="28"/>
          <w:lang w:val="kk-KZ"/>
        </w:rPr>
        <w:t>2</w:t>
      </w:r>
      <w:r w:rsidRPr="00AB448E">
        <w:rPr>
          <w:sz w:val="28"/>
          <w:szCs w:val="28"/>
          <w:lang w:val="kk-KZ"/>
        </w:rPr>
        <w:t xml:space="preserve"> пункта;</w:t>
      </w:r>
    </w:p>
    <w:p w:rsidR="00AC7738" w:rsidRPr="00AB448E" w:rsidRDefault="00AC7738" w:rsidP="00AC773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</w:t>
      </w:r>
      <w:r w:rsidR="000433F7" w:rsidRPr="00AB448E">
        <w:rPr>
          <w:sz w:val="28"/>
          <w:szCs w:val="28"/>
          <w:lang w:val="kk-KZ"/>
        </w:rPr>
        <w:t>4</w:t>
      </w:r>
      <w:r w:rsidRPr="00AB448E">
        <w:rPr>
          <w:sz w:val="28"/>
          <w:szCs w:val="28"/>
          <w:lang w:val="kk-KZ"/>
        </w:rPr>
        <w:t xml:space="preserve"> года:</w:t>
      </w:r>
    </w:p>
    <w:p w:rsidR="00AC7738" w:rsidRPr="00AB448E" w:rsidRDefault="00AC7738" w:rsidP="00AC7738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на 0,</w:t>
      </w:r>
      <w:r w:rsidR="000433F7" w:rsidRPr="00AB448E">
        <w:rPr>
          <w:sz w:val="28"/>
          <w:szCs w:val="28"/>
          <w:lang w:val="kk-KZ"/>
        </w:rPr>
        <w:t>3 пункта.</w:t>
      </w:r>
    </w:p>
    <w:p w:rsidR="00F02CD5" w:rsidRPr="00AB448E" w:rsidRDefault="00BE2278" w:rsidP="00BE2278">
      <w:pPr>
        <w:ind w:firstLine="709"/>
        <w:jc w:val="both"/>
        <w:rPr>
          <w:sz w:val="28"/>
          <w:szCs w:val="28"/>
          <w:lang w:val="kk-KZ"/>
        </w:rPr>
      </w:pPr>
      <w:bookmarkStart w:id="9" w:name="sub1003725651"/>
      <w:r w:rsidRPr="00AB448E">
        <w:rPr>
          <w:sz w:val="28"/>
          <w:szCs w:val="28"/>
          <w:lang w:val="kk-KZ"/>
        </w:rPr>
        <w:t>2</w:t>
      </w:r>
      <w:r w:rsidRPr="00AB448E">
        <w:rPr>
          <w:sz w:val="28"/>
          <w:szCs w:val="28"/>
        </w:rPr>
        <w:t xml:space="preserve">) </w:t>
      </w:r>
      <w:r w:rsidR="00F02CD5" w:rsidRPr="00AB448E">
        <w:rPr>
          <w:sz w:val="28"/>
          <w:szCs w:val="28"/>
          <w:lang w:val="kk-KZ"/>
        </w:rPr>
        <w:t>снижение</w:t>
      </w:r>
      <w:r w:rsidRPr="00AB448E">
        <w:rPr>
          <w:sz w:val="28"/>
          <w:szCs w:val="28"/>
        </w:rPr>
        <w:t xml:space="preserve"> норматива достаточности высоколиквидных активов ниже уровня, превышающего минимальное значение норматива достаточности высоколиквидных активов, установленного постановлением </w:t>
      </w:r>
      <w:bookmarkEnd w:id="9"/>
      <w:r w:rsidR="00F02CD5" w:rsidRPr="00AB448E">
        <w:rPr>
          <w:sz w:val="28"/>
          <w:szCs w:val="28"/>
        </w:rPr>
        <w:t>№ 304</w:t>
      </w:r>
      <w:r w:rsidR="00F02CD5" w:rsidRPr="00AB448E">
        <w:rPr>
          <w:sz w:val="28"/>
          <w:szCs w:val="28"/>
          <w:lang w:val="kk-KZ"/>
        </w:rPr>
        <w:t>:</w:t>
      </w:r>
    </w:p>
    <w:p w:rsidR="000433F7" w:rsidRPr="00AB448E" w:rsidRDefault="000433F7" w:rsidP="000433F7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2020 года:</w:t>
      </w:r>
    </w:p>
    <w:p w:rsidR="000433F7" w:rsidRPr="00AB448E" w:rsidRDefault="000433F7" w:rsidP="000433F7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 xml:space="preserve">на </w:t>
      </w:r>
      <w:r w:rsidRPr="00AB448E">
        <w:rPr>
          <w:sz w:val="28"/>
          <w:szCs w:val="28"/>
        </w:rPr>
        <w:t>0,1 пункта;</w:t>
      </w:r>
    </w:p>
    <w:p w:rsidR="000433F7" w:rsidRPr="00AB448E" w:rsidRDefault="000433F7" w:rsidP="000433F7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2022 года:</w:t>
      </w:r>
    </w:p>
    <w:p w:rsidR="000433F7" w:rsidRPr="00AB448E" w:rsidRDefault="000433F7" w:rsidP="000433F7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на 0,2 пункта;</w:t>
      </w:r>
    </w:p>
    <w:p w:rsidR="000433F7" w:rsidRPr="00AB448E" w:rsidRDefault="000433F7" w:rsidP="000433F7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2024 года:</w:t>
      </w:r>
    </w:p>
    <w:p w:rsidR="000433F7" w:rsidRPr="00AB448E" w:rsidRDefault="000433F7" w:rsidP="000433F7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на 0,3 пункта.</w:t>
      </w:r>
    </w:p>
    <w:p w:rsidR="007A5C25" w:rsidRPr="00AB448E" w:rsidRDefault="007A1BFD" w:rsidP="007A5C25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3</w:t>
      </w:r>
      <w:r w:rsidR="00F50AAB" w:rsidRPr="00AB448E">
        <w:rPr>
          <w:rStyle w:val="s0"/>
          <w:sz w:val="28"/>
          <w:szCs w:val="28"/>
        </w:rPr>
        <w:t xml:space="preserve">) </w:t>
      </w:r>
      <w:r w:rsidR="007A5C25" w:rsidRPr="00AB448E">
        <w:rPr>
          <w:rStyle w:val="s0"/>
          <w:sz w:val="28"/>
          <w:szCs w:val="28"/>
        </w:rPr>
        <w:t xml:space="preserve">УФУ в «красной зоне» в течение </w:t>
      </w:r>
      <w:r w:rsidR="000433F7" w:rsidRPr="00AB448E">
        <w:rPr>
          <w:rStyle w:val="s0"/>
          <w:sz w:val="28"/>
          <w:szCs w:val="28"/>
        </w:rPr>
        <w:t>трех</w:t>
      </w:r>
      <w:r w:rsidR="007A5C25" w:rsidRPr="00AB448E">
        <w:rPr>
          <w:rStyle w:val="s0"/>
          <w:sz w:val="28"/>
          <w:szCs w:val="28"/>
        </w:rPr>
        <w:t xml:space="preserve"> последовательных месяцев</w:t>
      </w:r>
      <w:r w:rsidR="00736625" w:rsidRPr="00AB448E">
        <w:rPr>
          <w:rStyle w:val="s0"/>
          <w:sz w:val="28"/>
          <w:szCs w:val="28"/>
        </w:rPr>
        <w:t>.</w:t>
      </w:r>
      <w:r w:rsidR="00046F63" w:rsidRPr="00AB448E">
        <w:rPr>
          <w:rStyle w:val="s0"/>
          <w:sz w:val="28"/>
          <w:szCs w:val="28"/>
        </w:rPr>
        <w:t xml:space="preserve"> Порядок расчета</w:t>
      </w:r>
      <w:r w:rsidR="00736625" w:rsidRPr="00AB448E">
        <w:rPr>
          <w:rStyle w:val="s0"/>
          <w:sz w:val="28"/>
          <w:szCs w:val="28"/>
        </w:rPr>
        <w:t xml:space="preserve"> УФУ</w:t>
      </w:r>
      <w:r w:rsidR="00046F63" w:rsidRPr="00AB448E">
        <w:rPr>
          <w:rStyle w:val="s0"/>
          <w:sz w:val="28"/>
          <w:szCs w:val="28"/>
        </w:rPr>
        <w:t xml:space="preserve"> по системе </w:t>
      </w:r>
      <w:r w:rsidR="00046F63" w:rsidRPr="00AB448E">
        <w:rPr>
          <w:rStyle w:val="s0"/>
          <w:sz w:val="28"/>
          <w:szCs w:val="28"/>
          <w:lang w:val="en-US"/>
        </w:rPr>
        <w:t>EWS</w:t>
      </w:r>
      <w:r w:rsidR="00046F63" w:rsidRPr="00AB448E">
        <w:rPr>
          <w:rStyle w:val="s0"/>
          <w:sz w:val="28"/>
          <w:szCs w:val="28"/>
        </w:rPr>
        <w:t xml:space="preserve"> приведен в приложении к Правилам</w:t>
      </w:r>
      <w:r w:rsidR="0022677A" w:rsidRPr="00AB448E">
        <w:rPr>
          <w:rStyle w:val="s0"/>
          <w:sz w:val="28"/>
          <w:szCs w:val="28"/>
        </w:rPr>
        <w:t>;</w:t>
      </w:r>
    </w:p>
    <w:p w:rsidR="00F50AAB" w:rsidRPr="00AB448E" w:rsidRDefault="000433F7" w:rsidP="00F50AAB">
      <w:pPr>
        <w:ind w:firstLine="708"/>
        <w:jc w:val="both"/>
        <w:rPr>
          <w:rStyle w:val="s0"/>
          <w:sz w:val="28"/>
          <w:szCs w:val="28"/>
          <w:lang w:val="kk-KZ"/>
        </w:rPr>
      </w:pPr>
      <w:r w:rsidRPr="00AB448E">
        <w:rPr>
          <w:rStyle w:val="s0"/>
          <w:sz w:val="28"/>
          <w:szCs w:val="28"/>
        </w:rPr>
        <w:t>4</w:t>
      </w:r>
      <w:r w:rsidR="00CB7872" w:rsidRPr="00AB448E">
        <w:rPr>
          <w:rStyle w:val="s0"/>
          <w:sz w:val="28"/>
          <w:szCs w:val="28"/>
        </w:rPr>
        <w:t xml:space="preserve">) </w:t>
      </w:r>
      <w:r w:rsidR="00F50AAB" w:rsidRPr="00AB448E">
        <w:rPr>
          <w:rStyle w:val="s0"/>
          <w:sz w:val="28"/>
          <w:szCs w:val="28"/>
        </w:rPr>
        <w:t>превышение суммы требуемого капитала для покрытия валютного риска над разницей между значением фактической маржи платежеспособности, используемой в расчете норматива достаточности маржи платежеспособности, и значением минимального размера маржи платежеспособности на отчетную дату</w:t>
      </w:r>
      <w:r w:rsidR="001B01A2" w:rsidRPr="00AB448E">
        <w:rPr>
          <w:rStyle w:val="s0"/>
          <w:sz w:val="28"/>
          <w:szCs w:val="28"/>
        </w:rPr>
        <w:t xml:space="preserve"> в течение трех последовательных месяцев</w:t>
      </w:r>
      <w:r w:rsidR="00F50AAB" w:rsidRPr="00AB448E">
        <w:rPr>
          <w:rStyle w:val="s0"/>
          <w:sz w:val="28"/>
          <w:szCs w:val="28"/>
          <w:lang w:val="kk-KZ"/>
        </w:rPr>
        <w:t>.</w:t>
      </w:r>
    </w:p>
    <w:p w:rsidR="000433F7" w:rsidRPr="00AB448E" w:rsidRDefault="000433F7" w:rsidP="00F50AAB">
      <w:pPr>
        <w:ind w:firstLine="708"/>
        <w:jc w:val="both"/>
        <w:rPr>
          <w:rStyle w:val="s0"/>
          <w:sz w:val="28"/>
          <w:szCs w:val="28"/>
          <w:lang w:val="kk-KZ"/>
        </w:rPr>
      </w:pPr>
    </w:p>
    <w:p w:rsidR="00F50AAB" w:rsidRPr="00AB448E" w:rsidRDefault="00FB163F" w:rsidP="00F50AAB">
      <w:pPr>
        <w:ind w:left="34"/>
        <w:contextualSpacing/>
        <w:jc w:val="center"/>
        <w:rPr>
          <w:lang w:val="kk-KZ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4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lang w:val="kk-KZ"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kk-KZ"/>
                    </w:rPr>
                    <m:t>i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kk-KZ"/>
                        </w:rPr>
                        <m:t>CRE</m:t>
                      </m:r>
                    </m:e>
                    <m:sub>
                      <m:r>
                        <w:rPr>
                          <w:rFonts w:ascii="Cambria Math" w:hAnsi="Cambria Math"/>
                          <w:lang w:val="kk-KZ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lang w:val="kk-KZ"/>
            </w:rPr>
            <m:t>&gt;ФМП-ММП</m:t>
          </m:r>
        </m:oMath>
      </m:oMathPara>
    </w:p>
    <w:p w:rsidR="00F00937" w:rsidRPr="00AB448E" w:rsidRDefault="00F00937" w:rsidP="00F50AAB">
      <w:pPr>
        <w:ind w:left="34"/>
        <w:contextualSpacing/>
        <w:jc w:val="center"/>
        <w:rPr>
          <w:sz w:val="28"/>
          <w:szCs w:val="28"/>
        </w:rPr>
      </w:pPr>
    </w:p>
    <w:p w:rsidR="00F50AAB" w:rsidRPr="00AB448E" w:rsidRDefault="00F50AAB" w:rsidP="00F50AAB">
      <w:pPr>
        <w:ind w:left="34" w:firstLine="674"/>
        <w:contextualSpacing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Требуемый капитал для покрытия валютного риска по каждой иностранной валюте определяется по следующей формуле: </w:t>
      </w:r>
    </w:p>
    <w:p w:rsidR="00F00937" w:rsidRPr="00AB448E" w:rsidRDefault="00F00937" w:rsidP="00F50AAB">
      <w:pPr>
        <w:ind w:left="34" w:firstLine="674"/>
        <w:contextualSpacing/>
        <w:jc w:val="both"/>
        <w:rPr>
          <w:sz w:val="28"/>
          <w:szCs w:val="28"/>
        </w:rPr>
      </w:pPr>
    </w:p>
    <w:p w:rsidR="00F50AAB" w:rsidRPr="00AB448E" w:rsidRDefault="00FB163F" w:rsidP="00F50AAB">
      <w:pPr>
        <w:ind w:left="34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CRE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w:rPr>
            <w:rFonts w:asci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  <w:lang w:val="en-US"/>
          </w:rPr>
          <m:t>A</m:t>
        </m:r>
        <m:r>
          <w:rPr>
            <w:rFonts w:ascii="Cambria Math" w:hAnsi="Cambria Math"/>
            <w:sz w:val="26"/>
            <w:szCs w:val="26"/>
          </w:rPr>
          <m:t>×</m:t>
        </m:r>
        <m:r>
          <w:rPr>
            <w:rFonts w:ascii="Cambria Math"/>
            <w:sz w:val="26"/>
            <w:szCs w:val="26"/>
          </w:rPr>
          <m:t>(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A</m:t>
            </m:r>
          </m:den>
        </m:f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L</m:t>
            </m:r>
          </m:den>
        </m:f>
        <m:r>
          <w:rPr>
            <w:rFonts w:ascii="Cambria Math"/>
            <w:sz w:val="26"/>
            <w:szCs w:val="26"/>
          </w:rPr>
          <m:t>)</m:t>
        </m:r>
      </m:oMath>
      <w:r w:rsidR="00F50AAB" w:rsidRPr="00AB448E">
        <w:rPr>
          <w:sz w:val="28"/>
          <w:szCs w:val="28"/>
        </w:rPr>
        <w:t>,</w:t>
      </w:r>
    </w:p>
    <w:p w:rsidR="00F00937" w:rsidRPr="00AB448E" w:rsidRDefault="00F00937" w:rsidP="00F50AAB">
      <w:pPr>
        <w:ind w:left="34"/>
        <w:contextualSpacing/>
        <w:jc w:val="center"/>
        <w:rPr>
          <w:rStyle w:val="s0"/>
          <w:i/>
          <w:sz w:val="28"/>
          <w:szCs w:val="28"/>
        </w:rPr>
      </w:pPr>
    </w:p>
    <w:p w:rsidR="00F50AAB" w:rsidRPr="00AB448E" w:rsidRDefault="00F50AAB" w:rsidP="00F50AAB">
      <w:pPr>
        <w:ind w:left="34" w:firstLine="674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где:</w:t>
      </w:r>
    </w:p>
    <w:p w:rsidR="00F50AAB" w:rsidRPr="00AB448E" w:rsidRDefault="00F50AAB" w:rsidP="00F50AAB">
      <w:pPr>
        <w:ind w:left="34" w:firstLine="674"/>
        <w:contextualSpacing/>
        <w:jc w:val="both"/>
        <w:rPr>
          <w:rStyle w:val="s0"/>
          <w:sz w:val="28"/>
          <w:szCs w:val="28"/>
        </w:rPr>
      </w:pPr>
      <w:proofErr w:type="spellStart"/>
      <w:r w:rsidRPr="00AB448E">
        <w:rPr>
          <w:rStyle w:val="s0"/>
          <w:sz w:val="28"/>
          <w:szCs w:val="28"/>
          <w:lang w:val="en-US"/>
        </w:rPr>
        <w:t>CRE</w:t>
      </w:r>
      <w:r w:rsidRPr="00AB448E">
        <w:rPr>
          <w:rStyle w:val="s0"/>
          <w:sz w:val="28"/>
          <w:szCs w:val="28"/>
          <w:vertAlign w:val="subscript"/>
          <w:lang w:val="en-US"/>
        </w:rPr>
        <w:t>i</w:t>
      </w:r>
      <w:proofErr w:type="spellEnd"/>
      <w:r w:rsidRPr="00AB448E">
        <w:rPr>
          <w:rStyle w:val="s0"/>
          <w:sz w:val="28"/>
          <w:szCs w:val="28"/>
          <w:vertAlign w:val="subscript"/>
        </w:rPr>
        <w:t xml:space="preserve"> </w:t>
      </w:r>
      <w:r w:rsidRPr="00AB448E">
        <w:rPr>
          <w:rStyle w:val="s0"/>
          <w:sz w:val="28"/>
          <w:szCs w:val="28"/>
        </w:rPr>
        <w:t>– т</w:t>
      </w:r>
      <w:r w:rsidRPr="00AB448E">
        <w:rPr>
          <w:sz w:val="28"/>
          <w:szCs w:val="28"/>
        </w:rPr>
        <w:t xml:space="preserve">ребуемый капитал для покрытия валютного риска по </w:t>
      </w:r>
      <w:proofErr w:type="spellStart"/>
      <w:r w:rsidRPr="00AB448E">
        <w:rPr>
          <w:i/>
          <w:sz w:val="28"/>
          <w:szCs w:val="28"/>
          <w:lang w:val="en-US"/>
        </w:rPr>
        <w:t>i</w:t>
      </w:r>
      <w:proofErr w:type="spellEnd"/>
      <w:r w:rsidRPr="00AB448E">
        <w:rPr>
          <w:sz w:val="28"/>
          <w:szCs w:val="28"/>
        </w:rPr>
        <w:t>-ой иностранной валюте;</w:t>
      </w:r>
    </w:p>
    <w:p w:rsidR="00F50AAB" w:rsidRPr="00AB448E" w:rsidRDefault="00F50AAB" w:rsidP="00F50AAB">
      <w:pPr>
        <w:ind w:left="34" w:firstLine="674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А – совокупные активы страховой (перестраховочной) организации на отчетную дату;</w:t>
      </w:r>
    </w:p>
    <w:p w:rsidR="00F50AAB" w:rsidRPr="00AB448E" w:rsidRDefault="00F50AAB" w:rsidP="00F50AAB">
      <w:pPr>
        <w:ind w:left="34" w:firstLine="674"/>
        <w:contextualSpacing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 xml:space="preserve">L - совокупные </w:t>
      </w:r>
      <w:r w:rsidRPr="00AB448E">
        <w:rPr>
          <w:rStyle w:val="s0"/>
          <w:sz w:val="28"/>
          <w:szCs w:val="28"/>
          <w:lang w:val="kk-KZ"/>
        </w:rPr>
        <w:t>обязательства</w:t>
      </w:r>
      <w:r w:rsidRPr="00AB448E">
        <w:rPr>
          <w:rStyle w:val="s0"/>
          <w:sz w:val="28"/>
          <w:szCs w:val="28"/>
        </w:rPr>
        <w:t xml:space="preserve"> страховой (перестраховочной) организации </w:t>
      </w:r>
      <w:r w:rsidR="00736625" w:rsidRPr="00AB448E">
        <w:rPr>
          <w:rStyle w:val="s0"/>
          <w:sz w:val="28"/>
          <w:szCs w:val="28"/>
        </w:rPr>
        <w:t xml:space="preserve">по балансу </w:t>
      </w:r>
      <w:r w:rsidRPr="00AB448E">
        <w:rPr>
          <w:rStyle w:val="s0"/>
          <w:sz w:val="28"/>
          <w:szCs w:val="28"/>
        </w:rPr>
        <w:t>на отчетную дату;</w:t>
      </w:r>
    </w:p>
    <w:p w:rsidR="00F50AAB" w:rsidRPr="00AB448E" w:rsidRDefault="00F50AAB" w:rsidP="00F50AAB">
      <w:pPr>
        <w:ind w:left="34" w:firstLine="674"/>
        <w:contextualSpacing/>
        <w:jc w:val="both"/>
        <w:rPr>
          <w:rStyle w:val="s0"/>
          <w:sz w:val="28"/>
          <w:szCs w:val="28"/>
        </w:rPr>
      </w:pPr>
      <w:proofErr w:type="spellStart"/>
      <w:proofErr w:type="gramStart"/>
      <w:r w:rsidRPr="00AB448E">
        <w:rPr>
          <w:rStyle w:val="s0"/>
          <w:sz w:val="28"/>
          <w:szCs w:val="28"/>
          <w:lang w:val="en-US"/>
        </w:rPr>
        <w:t>a</w:t>
      </w:r>
      <w:r w:rsidRPr="00AB448E">
        <w:rPr>
          <w:rStyle w:val="s0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B448E">
        <w:rPr>
          <w:rStyle w:val="s0"/>
          <w:sz w:val="28"/>
          <w:szCs w:val="28"/>
        </w:rPr>
        <w:t xml:space="preserve"> – сумма активов в </w:t>
      </w:r>
      <w:proofErr w:type="spellStart"/>
      <w:r w:rsidRPr="00AB448E">
        <w:rPr>
          <w:i/>
          <w:sz w:val="28"/>
          <w:szCs w:val="28"/>
          <w:lang w:val="en-US"/>
        </w:rPr>
        <w:t>i</w:t>
      </w:r>
      <w:proofErr w:type="spellEnd"/>
      <w:r w:rsidRPr="00AB448E">
        <w:rPr>
          <w:sz w:val="28"/>
          <w:szCs w:val="28"/>
        </w:rPr>
        <w:t xml:space="preserve">-ой </w:t>
      </w:r>
      <w:r w:rsidRPr="00AB448E">
        <w:rPr>
          <w:rStyle w:val="s0"/>
          <w:sz w:val="28"/>
          <w:szCs w:val="28"/>
        </w:rPr>
        <w:t>иностранной валюте на отчетную дату;</w:t>
      </w:r>
    </w:p>
    <w:p w:rsidR="00F50AAB" w:rsidRPr="00AB448E" w:rsidRDefault="00F50AAB" w:rsidP="00F50AAB">
      <w:pPr>
        <w:ind w:firstLine="709"/>
        <w:jc w:val="both"/>
        <w:rPr>
          <w:sz w:val="28"/>
          <w:szCs w:val="28"/>
        </w:rPr>
      </w:pPr>
      <w:proofErr w:type="gramStart"/>
      <w:r w:rsidRPr="00AB448E">
        <w:rPr>
          <w:rStyle w:val="s0"/>
          <w:sz w:val="28"/>
          <w:szCs w:val="28"/>
          <w:lang w:val="en-US"/>
        </w:rPr>
        <w:t>l</w:t>
      </w:r>
      <w:r w:rsidRPr="00AB448E">
        <w:rPr>
          <w:rStyle w:val="s0"/>
          <w:sz w:val="28"/>
          <w:szCs w:val="28"/>
          <w:vertAlign w:val="subscript"/>
          <w:lang w:val="en-US"/>
        </w:rPr>
        <w:t>i</w:t>
      </w:r>
      <w:proofErr w:type="gramEnd"/>
      <w:r w:rsidRPr="00AB448E">
        <w:rPr>
          <w:rStyle w:val="s0"/>
          <w:sz w:val="28"/>
          <w:szCs w:val="28"/>
        </w:rPr>
        <w:t xml:space="preserve"> - сумма обязательств </w:t>
      </w:r>
      <w:r w:rsidR="00736625" w:rsidRPr="00AB448E">
        <w:rPr>
          <w:rStyle w:val="s0"/>
          <w:sz w:val="28"/>
          <w:szCs w:val="28"/>
        </w:rPr>
        <w:t xml:space="preserve">по балансу </w:t>
      </w:r>
      <w:r w:rsidRPr="00AB448E">
        <w:rPr>
          <w:rStyle w:val="s0"/>
          <w:sz w:val="28"/>
          <w:szCs w:val="28"/>
        </w:rPr>
        <w:t>в</w:t>
      </w:r>
      <w:r w:rsidRPr="00AB448E">
        <w:rPr>
          <w:i/>
          <w:sz w:val="28"/>
          <w:szCs w:val="28"/>
        </w:rPr>
        <w:t xml:space="preserve"> </w:t>
      </w:r>
      <w:proofErr w:type="spellStart"/>
      <w:r w:rsidRPr="00AB448E">
        <w:rPr>
          <w:i/>
          <w:sz w:val="28"/>
          <w:szCs w:val="28"/>
          <w:lang w:val="en-US"/>
        </w:rPr>
        <w:t>i</w:t>
      </w:r>
      <w:proofErr w:type="spellEnd"/>
      <w:r w:rsidRPr="00AB448E">
        <w:rPr>
          <w:sz w:val="28"/>
          <w:szCs w:val="28"/>
        </w:rPr>
        <w:t>-ой</w:t>
      </w:r>
      <w:r w:rsidRPr="00AB448E">
        <w:rPr>
          <w:rStyle w:val="s0"/>
          <w:sz w:val="28"/>
          <w:szCs w:val="28"/>
        </w:rPr>
        <w:t xml:space="preserve"> иностранной валюте на отчетную дату</w:t>
      </w:r>
      <w:r w:rsidRPr="00AB448E">
        <w:rPr>
          <w:sz w:val="28"/>
          <w:szCs w:val="28"/>
        </w:rPr>
        <w:t>;</w:t>
      </w:r>
    </w:p>
    <w:p w:rsidR="000462BB" w:rsidRPr="00AB448E" w:rsidRDefault="00091455" w:rsidP="000462BB">
      <w:pPr>
        <w:pStyle w:val="a9"/>
        <w:tabs>
          <w:tab w:val="left" w:pos="284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48E">
        <w:rPr>
          <w:rFonts w:ascii="Times New Roman" w:hAnsi="Times New Roman"/>
          <w:sz w:val="28"/>
          <w:szCs w:val="28"/>
        </w:rPr>
        <w:t>5</w:t>
      </w:r>
      <w:r w:rsidR="000462BB" w:rsidRPr="00AB448E">
        <w:rPr>
          <w:rFonts w:ascii="Times New Roman" w:hAnsi="Times New Roman"/>
          <w:sz w:val="28"/>
          <w:szCs w:val="28"/>
        </w:rPr>
        <w:t>)</w:t>
      </w:r>
      <w:r w:rsidR="000462BB" w:rsidRPr="00AB448E">
        <w:rPr>
          <w:rFonts w:ascii="Times New Roman" w:hAnsi="Times New Roman"/>
        </w:rPr>
        <w:t xml:space="preserve"> </w:t>
      </w:r>
      <w:r w:rsidR="000462BB" w:rsidRPr="00AB448E">
        <w:rPr>
          <w:rFonts w:ascii="Times New Roman" w:hAnsi="Times New Roman"/>
          <w:sz w:val="28"/>
          <w:szCs w:val="28"/>
        </w:rPr>
        <w:t xml:space="preserve">соотношение значения совокупных активов с учетом их классификации по качеству и ликвидности за минусом значения совокупных страховых резервов (включая долю перестраховщиков в страховых резервах) к </w:t>
      </w:r>
      <w:r w:rsidR="000462BB" w:rsidRPr="00AB448E">
        <w:rPr>
          <w:rFonts w:ascii="Times New Roman" w:hAnsi="Times New Roman"/>
          <w:sz w:val="28"/>
          <w:szCs w:val="28"/>
        </w:rPr>
        <w:lastRenderedPageBreak/>
        <w:t>минимальному размеру маржи платежеспособности, рассчитанных в соответствии с постановлением №304, ниже</w:t>
      </w:r>
      <w:r w:rsidR="00736625" w:rsidRPr="00AB448E">
        <w:rPr>
          <w:rFonts w:ascii="Times New Roman" w:hAnsi="Times New Roman"/>
          <w:sz w:val="28"/>
          <w:szCs w:val="28"/>
        </w:rPr>
        <w:t xml:space="preserve"> нуля</w:t>
      </w:r>
      <w:r w:rsidR="000462BB" w:rsidRPr="00AB448E">
        <w:rPr>
          <w:rFonts w:ascii="Times New Roman" w:hAnsi="Times New Roman"/>
          <w:sz w:val="28"/>
          <w:szCs w:val="28"/>
        </w:rPr>
        <w:t xml:space="preserve">; </w:t>
      </w:r>
    </w:p>
    <w:p w:rsidR="00ED5010" w:rsidRPr="00AB448E" w:rsidRDefault="003952D6" w:rsidP="00ED5010">
      <w:pPr>
        <w:ind w:firstLine="709"/>
        <w:jc w:val="both"/>
        <w:rPr>
          <w:sz w:val="28"/>
          <w:szCs w:val="28"/>
        </w:rPr>
      </w:pPr>
      <w:bookmarkStart w:id="10" w:name="SUB200"/>
      <w:bookmarkEnd w:id="0"/>
      <w:bookmarkEnd w:id="10"/>
      <w:r w:rsidRPr="00AB448E">
        <w:rPr>
          <w:rStyle w:val="s0"/>
          <w:sz w:val="28"/>
          <w:szCs w:val="28"/>
        </w:rPr>
        <w:t>7</w:t>
      </w:r>
      <w:r w:rsidR="00ED5010" w:rsidRPr="00AB448E">
        <w:rPr>
          <w:rStyle w:val="s0"/>
          <w:sz w:val="28"/>
          <w:szCs w:val="28"/>
        </w:rPr>
        <w:t xml:space="preserve">. </w:t>
      </w:r>
      <w:proofErr w:type="gramStart"/>
      <w:r w:rsidR="00ED5010" w:rsidRPr="00AB448E">
        <w:rPr>
          <w:rStyle w:val="s0"/>
          <w:sz w:val="28"/>
          <w:szCs w:val="28"/>
        </w:rPr>
        <w:t>Определение факторов, влияющих на ухудшение финансового положения страховой группы, предусмотренных подпунктами 1) и 2) пункта 2 статьи 53 Закона, а также пунктом 2 настоящего постановления, осуществляется по следующей методике:</w:t>
      </w:r>
      <w:proofErr w:type="gramEnd"/>
    </w:p>
    <w:p w:rsidR="00046F63" w:rsidRPr="00AB448E" w:rsidRDefault="00091455" w:rsidP="00ED5010">
      <w:pPr>
        <w:ind w:firstLine="709"/>
        <w:jc w:val="both"/>
        <w:rPr>
          <w:rStyle w:val="s0"/>
          <w:sz w:val="28"/>
          <w:szCs w:val="28"/>
        </w:rPr>
      </w:pPr>
      <w:r w:rsidRPr="00AB448E">
        <w:rPr>
          <w:rStyle w:val="s0"/>
          <w:sz w:val="28"/>
          <w:szCs w:val="28"/>
        </w:rPr>
        <w:t>1</w:t>
      </w:r>
      <w:r w:rsidR="00ED5010" w:rsidRPr="00AB448E">
        <w:rPr>
          <w:rStyle w:val="s0"/>
          <w:sz w:val="28"/>
          <w:szCs w:val="28"/>
        </w:rPr>
        <w:t>) значение норматива достаточности маржи платежеспособности ниже уровня, превышающего минимальное значение норматива достаточности маржи платежеспособности, установлен</w:t>
      </w:r>
      <w:r w:rsidR="000462BB" w:rsidRPr="00AB448E">
        <w:rPr>
          <w:rStyle w:val="s0"/>
          <w:sz w:val="28"/>
          <w:szCs w:val="28"/>
        </w:rPr>
        <w:t>ного постановлением № 304</w:t>
      </w:r>
      <w:r w:rsidR="00046F63" w:rsidRPr="00AB448E">
        <w:rPr>
          <w:rStyle w:val="s0"/>
          <w:sz w:val="28"/>
          <w:szCs w:val="28"/>
        </w:rPr>
        <w:t>:</w:t>
      </w:r>
    </w:p>
    <w:p w:rsidR="00046F63" w:rsidRPr="00AB448E" w:rsidRDefault="00046F63" w:rsidP="00046F63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2020 года:</w:t>
      </w:r>
    </w:p>
    <w:p w:rsidR="00046F63" w:rsidRPr="00AB448E" w:rsidRDefault="00046F63" w:rsidP="00046F63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 xml:space="preserve">на </w:t>
      </w:r>
      <w:r w:rsidRPr="00AB448E">
        <w:rPr>
          <w:sz w:val="28"/>
          <w:szCs w:val="28"/>
        </w:rPr>
        <w:t>0,1 пункта;</w:t>
      </w:r>
    </w:p>
    <w:p w:rsidR="00046F63" w:rsidRPr="00AB448E" w:rsidRDefault="00046F63" w:rsidP="00046F63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2022 года:</w:t>
      </w:r>
    </w:p>
    <w:p w:rsidR="00046F63" w:rsidRPr="00AB448E" w:rsidRDefault="00046F63" w:rsidP="00046F63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на 0,2 пункта;</w:t>
      </w:r>
    </w:p>
    <w:p w:rsidR="00046F63" w:rsidRPr="00AB448E" w:rsidRDefault="00046F63" w:rsidP="00046F63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до 1 января 2024 года:</w:t>
      </w:r>
    </w:p>
    <w:p w:rsidR="00046F63" w:rsidRPr="00AB448E" w:rsidRDefault="00046F63" w:rsidP="00046F63">
      <w:pPr>
        <w:ind w:firstLine="709"/>
        <w:jc w:val="both"/>
        <w:rPr>
          <w:sz w:val="28"/>
          <w:szCs w:val="28"/>
          <w:lang w:val="kk-KZ"/>
        </w:rPr>
      </w:pPr>
      <w:r w:rsidRPr="00AB448E">
        <w:rPr>
          <w:sz w:val="28"/>
          <w:szCs w:val="28"/>
          <w:lang w:val="kk-KZ"/>
        </w:rPr>
        <w:t>на 0,3 пункта.</w:t>
      </w:r>
    </w:p>
    <w:p w:rsidR="00ED5010" w:rsidRPr="00AB448E" w:rsidRDefault="00091455" w:rsidP="00ED5010">
      <w:pPr>
        <w:ind w:firstLine="709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2</w:t>
      </w:r>
      <w:r w:rsidR="00ED5010" w:rsidRPr="00AB448E">
        <w:rPr>
          <w:rStyle w:val="s0"/>
          <w:sz w:val="28"/>
          <w:szCs w:val="28"/>
        </w:rPr>
        <w:t>) снижение по итогам отчетного квартала собственного капитала по балансу участника (участников) страховой группы ниже размера их уставного капитала по балансу;</w:t>
      </w:r>
    </w:p>
    <w:p w:rsidR="00ED5010" w:rsidRPr="00AB448E" w:rsidRDefault="00091455" w:rsidP="00ED5010">
      <w:pPr>
        <w:ind w:firstLine="709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3</w:t>
      </w:r>
      <w:r w:rsidR="00ED5010" w:rsidRPr="00AB448E">
        <w:rPr>
          <w:rStyle w:val="s0"/>
          <w:sz w:val="28"/>
          <w:szCs w:val="28"/>
        </w:rPr>
        <w:t xml:space="preserve">) превышение объема сделок между участниками страховой группы </w:t>
      </w:r>
      <w:r w:rsidR="00DB371F" w:rsidRPr="00AB448E">
        <w:rPr>
          <w:rStyle w:val="s0"/>
          <w:sz w:val="28"/>
          <w:szCs w:val="28"/>
        </w:rPr>
        <w:t>10 (</w:t>
      </w:r>
      <w:r w:rsidR="00ED5010" w:rsidRPr="00AB448E">
        <w:rPr>
          <w:rStyle w:val="s0"/>
          <w:sz w:val="28"/>
          <w:szCs w:val="28"/>
        </w:rPr>
        <w:t>десяти</w:t>
      </w:r>
      <w:r w:rsidR="00DB371F" w:rsidRPr="00AB448E">
        <w:rPr>
          <w:rStyle w:val="s0"/>
          <w:sz w:val="28"/>
          <w:szCs w:val="28"/>
        </w:rPr>
        <w:t>)</w:t>
      </w:r>
      <w:r w:rsidR="00ED5010" w:rsidRPr="00AB448E">
        <w:rPr>
          <w:rStyle w:val="s0"/>
          <w:sz w:val="28"/>
          <w:szCs w:val="28"/>
        </w:rPr>
        <w:t xml:space="preserve"> процентов от фактической маржи платежеспособности страховой группы;</w:t>
      </w:r>
    </w:p>
    <w:p w:rsidR="00ED5010" w:rsidRPr="00AB448E" w:rsidRDefault="00091455" w:rsidP="00ED5010">
      <w:pPr>
        <w:ind w:firstLine="709"/>
        <w:jc w:val="both"/>
        <w:rPr>
          <w:sz w:val="28"/>
          <w:szCs w:val="28"/>
        </w:rPr>
      </w:pPr>
      <w:r w:rsidRPr="00AB448E">
        <w:rPr>
          <w:rStyle w:val="s0"/>
          <w:sz w:val="28"/>
          <w:szCs w:val="28"/>
        </w:rPr>
        <w:t>4</w:t>
      </w:r>
      <w:r w:rsidR="00ED5010" w:rsidRPr="00AB448E">
        <w:rPr>
          <w:rStyle w:val="s0"/>
          <w:sz w:val="28"/>
          <w:szCs w:val="28"/>
        </w:rPr>
        <w:t>) систематическое (3 (три) и более раза в течение 6 (шести) последовательных месяцев) применение мер раннего реагирования в отношении финансовых организаций, являющихся участниками страховой группы.</w:t>
      </w:r>
    </w:p>
    <w:p w:rsidR="0075083C" w:rsidRPr="00AB448E" w:rsidRDefault="007A5C25" w:rsidP="0075083C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68"/>
        <w:tblW w:w="0" w:type="auto"/>
        <w:tblLook w:val="04A0" w:firstRow="1" w:lastRow="0" w:firstColumn="1" w:lastColumn="0" w:noHBand="0" w:noVBand="1"/>
      </w:tblPr>
      <w:tblGrid>
        <w:gridCol w:w="4253"/>
      </w:tblGrid>
      <w:tr w:rsidR="0075083C" w:rsidRPr="00AB448E" w:rsidTr="0075083C">
        <w:tc>
          <w:tcPr>
            <w:tcW w:w="4253" w:type="dxa"/>
            <w:shd w:val="clear" w:color="auto" w:fill="auto"/>
          </w:tcPr>
          <w:p w:rsidR="0075083C" w:rsidRPr="00AB448E" w:rsidRDefault="0075083C" w:rsidP="00D77AC1">
            <w:pPr>
              <w:jc w:val="right"/>
              <w:rPr>
                <w:rStyle w:val="s0"/>
                <w:sz w:val="28"/>
                <w:szCs w:val="28"/>
              </w:rPr>
            </w:pPr>
            <w:r w:rsidRPr="00AB448E">
              <w:rPr>
                <w:rStyle w:val="s0"/>
                <w:sz w:val="28"/>
                <w:szCs w:val="28"/>
              </w:rPr>
              <w:lastRenderedPageBreak/>
              <w:t>Приложение</w:t>
            </w:r>
          </w:p>
          <w:p w:rsidR="0075083C" w:rsidRPr="00AB448E" w:rsidRDefault="0075083C" w:rsidP="00D77AC1">
            <w:pPr>
              <w:jc w:val="right"/>
              <w:rPr>
                <w:rStyle w:val="s0"/>
                <w:sz w:val="28"/>
                <w:szCs w:val="28"/>
              </w:rPr>
            </w:pPr>
            <w:r w:rsidRPr="00AB448E">
              <w:rPr>
                <w:rStyle w:val="s0"/>
                <w:sz w:val="28"/>
                <w:szCs w:val="28"/>
              </w:rPr>
              <w:t xml:space="preserve">к Правилам </w:t>
            </w:r>
            <w:r w:rsidRPr="00AB448E">
              <w:rPr>
                <w:rStyle w:val="s0"/>
                <w:bCs/>
                <w:sz w:val="28"/>
                <w:szCs w:val="28"/>
              </w:rPr>
              <w:t xml:space="preserve"> применения мер раннего реагирования</w:t>
            </w:r>
            <w:r w:rsidRPr="00AB448E">
              <w:rPr>
                <w:rStyle w:val="s0"/>
                <w:sz w:val="28"/>
                <w:szCs w:val="28"/>
              </w:rPr>
              <w:br/>
            </w:r>
            <w:r w:rsidRPr="00AB448E">
              <w:rPr>
                <w:rStyle w:val="s0"/>
                <w:bCs/>
                <w:sz w:val="28"/>
                <w:szCs w:val="28"/>
              </w:rPr>
              <w:t>и методика определения факторов, влияющих на ухудшение финансового положения страховой (перестраховочной) организации (страховой группы)</w:t>
            </w:r>
          </w:p>
          <w:p w:rsidR="0075083C" w:rsidRPr="00AB448E" w:rsidRDefault="0075083C" w:rsidP="00D77AC1">
            <w:pPr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75083C" w:rsidRPr="00AB448E" w:rsidRDefault="0075083C" w:rsidP="0075083C">
      <w:pPr>
        <w:ind w:firstLine="709"/>
        <w:jc w:val="both"/>
        <w:rPr>
          <w:sz w:val="28"/>
          <w:szCs w:val="28"/>
        </w:rPr>
      </w:pPr>
    </w:p>
    <w:p w:rsidR="0022677A" w:rsidRPr="00AB448E" w:rsidRDefault="0022677A" w:rsidP="00EE50EC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48E">
        <w:rPr>
          <w:rFonts w:ascii="Times New Roman" w:hAnsi="Times New Roman"/>
          <w:sz w:val="28"/>
          <w:szCs w:val="28"/>
        </w:rPr>
        <w:t xml:space="preserve">Система EWS является частью инструментов риск – ориентированного надзора и определяет финансовое состояние </w:t>
      </w:r>
      <w:r w:rsidR="003A5759" w:rsidRPr="00AB448E">
        <w:rPr>
          <w:rFonts w:ascii="Times New Roman" w:hAnsi="Times New Roman"/>
          <w:sz w:val="28"/>
          <w:szCs w:val="28"/>
        </w:rPr>
        <w:t>страховых (перестраховочных) организаций</w:t>
      </w:r>
      <w:r w:rsidRPr="00AB448E">
        <w:rPr>
          <w:rFonts w:ascii="Times New Roman" w:hAnsi="Times New Roman"/>
          <w:sz w:val="28"/>
          <w:szCs w:val="28"/>
        </w:rPr>
        <w:t xml:space="preserve"> на основе изменения ключевых параметров. </w:t>
      </w:r>
    </w:p>
    <w:p w:rsidR="00DF7C2C" w:rsidRPr="00AB448E" w:rsidRDefault="009B66F4" w:rsidP="00EE50EC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AB448E">
        <w:rPr>
          <w:rFonts w:ascii="Times New Roman" w:hAnsi="Times New Roman"/>
          <w:sz w:val="28"/>
          <w:szCs w:val="28"/>
        </w:rPr>
        <w:t>Коэффициенты EWS разделены на семь категорий риска согласно системе CARMELS (C - Капитал; A - Активы; R – Резервы и перестрахование; M - Менеджмент; E - Доходность; L - Ликвидность; S – Системность), отдельно для страховых (перестраховочных) организаций, осуществляющих деятельность по отрасли «общее страхование» (далее – КОС) и для страховых (перестраховочных) организаций, осуществляющих деятельность по отрасли «страхование жизни» (далее – КСЖ).</w:t>
      </w:r>
      <w:r w:rsidR="007323F2" w:rsidRPr="00AB44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46F63" w:rsidRPr="00AB448E" w:rsidRDefault="00F15D72" w:rsidP="00046F63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Коэффициенты EWS рассчитываются по формулам </w:t>
      </w:r>
      <w:r w:rsidR="0095410A" w:rsidRPr="00AB448E">
        <w:rPr>
          <w:sz w:val="28"/>
          <w:szCs w:val="28"/>
        </w:rPr>
        <w:t xml:space="preserve">согласно таблице 1. </w:t>
      </w:r>
      <w:r w:rsidR="00046F63" w:rsidRPr="00AB448E">
        <w:rPr>
          <w:sz w:val="28"/>
          <w:szCs w:val="28"/>
        </w:rPr>
        <w:t>В целях поддержания инструмента в соответствии с текущим состоянием рынка ежегодно в срок до «__» марта на официальном сайте уполномоченного органа по каждому коэффициенту публикуются среднее рыночное значение μ и стандартное отклонение σ, рассчитанные в соответствии с внутренней методикой уполномоченного органа</w:t>
      </w:r>
      <w:r w:rsidR="005A6C74" w:rsidRPr="00AB448E">
        <w:rPr>
          <w:sz w:val="28"/>
          <w:szCs w:val="28"/>
        </w:rPr>
        <w:t xml:space="preserve"> и которые обновляются каждые три года.</w:t>
      </w:r>
    </w:p>
    <w:p w:rsidR="00F15D72" w:rsidRPr="00AB448E" w:rsidRDefault="000C1C7E" w:rsidP="00ED1603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В соответствии с интервалами оценки коэффициентов </w:t>
      </w:r>
      <w:r w:rsidR="0095410A" w:rsidRPr="00AB448E">
        <w:rPr>
          <w:sz w:val="28"/>
          <w:szCs w:val="28"/>
        </w:rPr>
        <w:t xml:space="preserve">каждому коэффициенту присваивается уровень </w:t>
      </w:r>
      <w:r w:rsidRPr="00AB448E">
        <w:rPr>
          <w:sz w:val="28"/>
          <w:szCs w:val="28"/>
        </w:rPr>
        <w:t>от</w:t>
      </w:r>
      <w:r w:rsidR="00ED1603" w:rsidRPr="00AB448E">
        <w:rPr>
          <w:sz w:val="28"/>
          <w:szCs w:val="28"/>
        </w:rPr>
        <w:t xml:space="preserve"> 1 до 4, где уровень «1» является «зеленой зоной», уровень «2» является «желтой зоной», уровень «3» является «оранжевой зоной», уровень «4» является «красной зоной».</w:t>
      </w:r>
    </w:p>
    <w:p w:rsidR="00D71ADC" w:rsidRPr="00AB448E" w:rsidRDefault="00F15D72" w:rsidP="00ED1603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Коэффициенты в каждой категории риска равнозначны. </w:t>
      </w:r>
      <w:r w:rsidR="00EE50EC" w:rsidRPr="00AB448E">
        <w:rPr>
          <w:sz w:val="28"/>
          <w:szCs w:val="28"/>
        </w:rPr>
        <w:t xml:space="preserve">Для определения значения каждого параметра CARMELS (категории риска), необходимо рассчитать среднее значение уровней коэффициентов, входящих в данную категорию риска. </w:t>
      </w:r>
    </w:p>
    <w:p w:rsidR="005A6C74" w:rsidRPr="00AB448E" w:rsidRDefault="005A6C74" w:rsidP="005A6C74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>В целях поддержания инструмента в соответствии с текущим состоянием рынка ежегодно в срок до «__» марта на официальном сайте уполномоченного органа по каждой категории риска публикуются среднее рыночное значение μ и стандартное отклонение σ, рассчитанные в соответствии с внутренней методикой уполномоченного органа.</w:t>
      </w:r>
    </w:p>
    <w:p w:rsidR="00ED1603" w:rsidRPr="00AB448E" w:rsidRDefault="00ED1603" w:rsidP="00ED1603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 xml:space="preserve">В соответствии с интервалами оценки категорий риска, приведенной в таблице 2, каждой категории рисков присваивается уровень от 1 до 4, где уровень «1» является «зеленой зоной», уровень «2» является «желтой зоной», </w:t>
      </w:r>
      <w:r w:rsidRPr="00AB448E">
        <w:rPr>
          <w:sz w:val="28"/>
          <w:szCs w:val="28"/>
        </w:rPr>
        <w:lastRenderedPageBreak/>
        <w:t>уровень «3» является «оранжевой зоной», уровень «4» является «красной зоной».</w:t>
      </w:r>
    </w:p>
    <w:p w:rsidR="00AB0382" w:rsidRPr="00AB448E" w:rsidRDefault="00AB0382" w:rsidP="00ED1603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448E">
        <w:rPr>
          <w:rFonts w:ascii="Times New Roman" w:hAnsi="Times New Roman"/>
          <w:sz w:val="28"/>
          <w:szCs w:val="28"/>
        </w:rPr>
        <w:t xml:space="preserve">Средневзвешенное значение параметров CARMELS </w:t>
      </w:r>
      <w:r w:rsidR="00ED1603" w:rsidRPr="00AB448E">
        <w:rPr>
          <w:rFonts w:ascii="Times New Roman" w:hAnsi="Times New Roman"/>
          <w:sz w:val="28"/>
          <w:szCs w:val="28"/>
        </w:rPr>
        <w:t xml:space="preserve">(категории риска) в соответствии с весами согласно таблице 3 </w:t>
      </w:r>
      <w:r w:rsidRPr="00AB448E">
        <w:rPr>
          <w:rFonts w:ascii="Times New Roman" w:hAnsi="Times New Roman"/>
          <w:sz w:val="28"/>
          <w:szCs w:val="28"/>
        </w:rPr>
        <w:t>используется для определения соответствующего уровня финансовой устойчивости (УФУ) каждой страховой (перестраховочной) организации.</w:t>
      </w:r>
    </w:p>
    <w:p w:rsidR="007E05F4" w:rsidRPr="00AB448E" w:rsidRDefault="007E05F4" w:rsidP="007E05F4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>В целях поддержания инструмента в соответствии с текущим состоянием рынка ежегодно в срок до «__» марта на официальном сайте уполномоченного органа по УФУ публикуются среднее рыночное значение μ и стандартное отклонение σ, рассчитанные в соответствии с внутренней методикой уполномоченного органа.</w:t>
      </w:r>
    </w:p>
    <w:p w:rsidR="00ED1603" w:rsidRPr="00AB448E" w:rsidRDefault="00ED1603" w:rsidP="00ED1603">
      <w:pPr>
        <w:ind w:firstLine="709"/>
        <w:jc w:val="both"/>
        <w:rPr>
          <w:sz w:val="28"/>
          <w:szCs w:val="28"/>
        </w:rPr>
      </w:pPr>
      <w:r w:rsidRPr="00AB448E">
        <w:rPr>
          <w:sz w:val="28"/>
          <w:szCs w:val="28"/>
        </w:rPr>
        <w:t>В соответствии с интервалами оценки</w:t>
      </w:r>
      <w:r w:rsidR="0010316B" w:rsidRPr="00AB448E">
        <w:rPr>
          <w:sz w:val="28"/>
          <w:szCs w:val="28"/>
        </w:rPr>
        <w:t xml:space="preserve"> УФУ, приведенной в таблице 4, </w:t>
      </w:r>
      <w:r w:rsidRPr="00AB448E">
        <w:rPr>
          <w:sz w:val="28"/>
          <w:szCs w:val="28"/>
        </w:rPr>
        <w:t xml:space="preserve">УФУ </w:t>
      </w:r>
      <w:r w:rsidR="00773C2D" w:rsidRPr="00AB448E">
        <w:rPr>
          <w:sz w:val="28"/>
          <w:szCs w:val="28"/>
        </w:rPr>
        <w:t>страховых (перестраховочных) организаций делится</w:t>
      </w:r>
      <w:r w:rsidRPr="00AB448E">
        <w:rPr>
          <w:sz w:val="28"/>
          <w:szCs w:val="28"/>
        </w:rPr>
        <w:t xml:space="preserve"> </w:t>
      </w:r>
      <w:r w:rsidR="00773C2D" w:rsidRPr="00AB448E">
        <w:rPr>
          <w:sz w:val="28"/>
          <w:szCs w:val="28"/>
        </w:rPr>
        <w:t xml:space="preserve">на </w:t>
      </w:r>
      <w:proofErr w:type="gramStart"/>
      <w:r w:rsidR="00773C2D" w:rsidRPr="00AB448E">
        <w:rPr>
          <w:sz w:val="28"/>
          <w:szCs w:val="28"/>
        </w:rPr>
        <w:t>сильный</w:t>
      </w:r>
      <w:proofErr w:type="gramEnd"/>
      <w:r w:rsidR="00773C2D" w:rsidRPr="00AB448E">
        <w:rPr>
          <w:sz w:val="28"/>
          <w:szCs w:val="28"/>
        </w:rPr>
        <w:t xml:space="preserve"> или в </w:t>
      </w:r>
      <w:r w:rsidRPr="00AB448E">
        <w:rPr>
          <w:sz w:val="28"/>
          <w:szCs w:val="28"/>
        </w:rPr>
        <w:t>«зелен</w:t>
      </w:r>
      <w:r w:rsidR="00773C2D" w:rsidRPr="00AB448E">
        <w:rPr>
          <w:sz w:val="28"/>
          <w:szCs w:val="28"/>
        </w:rPr>
        <w:t>ой</w:t>
      </w:r>
      <w:r w:rsidRPr="00AB448E">
        <w:rPr>
          <w:sz w:val="28"/>
          <w:szCs w:val="28"/>
        </w:rPr>
        <w:t xml:space="preserve"> зон</w:t>
      </w:r>
      <w:r w:rsidR="00773C2D" w:rsidRPr="00AB448E">
        <w:rPr>
          <w:sz w:val="28"/>
          <w:szCs w:val="28"/>
        </w:rPr>
        <w:t>е</w:t>
      </w:r>
      <w:r w:rsidRPr="00AB448E">
        <w:rPr>
          <w:sz w:val="28"/>
          <w:szCs w:val="28"/>
        </w:rPr>
        <w:t xml:space="preserve">», </w:t>
      </w:r>
      <w:r w:rsidR="00773C2D" w:rsidRPr="00AB448E">
        <w:rPr>
          <w:sz w:val="28"/>
          <w:szCs w:val="28"/>
        </w:rPr>
        <w:t xml:space="preserve">средний или в </w:t>
      </w:r>
      <w:r w:rsidRPr="00AB448E">
        <w:rPr>
          <w:sz w:val="28"/>
          <w:szCs w:val="28"/>
        </w:rPr>
        <w:t>«желтой з</w:t>
      </w:r>
      <w:r w:rsidR="00773C2D" w:rsidRPr="00AB448E">
        <w:rPr>
          <w:sz w:val="28"/>
          <w:szCs w:val="28"/>
        </w:rPr>
        <w:t>оне</w:t>
      </w:r>
      <w:r w:rsidRPr="00AB448E">
        <w:rPr>
          <w:sz w:val="28"/>
          <w:szCs w:val="28"/>
        </w:rPr>
        <w:t xml:space="preserve">», </w:t>
      </w:r>
      <w:r w:rsidR="00773C2D" w:rsidRPr="00AB448E">
        <w:rPr>
          <w:sz w:val="28"/>
          <w:szCs w:val="28"/>
        </w:rPr>
        <w:t>слабый или в</w:t>
      </w:r>
      <w:r w:rsidRPr="00AB448E">
        <w:rPr>
          <w:sz w:val="28"/>
          <w:szCs w:val="28"/>
        </w:rPr>
        <w:t xml:space="preserve"> «оранжевой з</w:t>
      </w:r>
      <w:r w:rsidR="00773C2D" w:rsidRPr="00AB448E">
        <w:rPr>
          <w:sz w:val="28"/>
          <w:szCs w:val="28"/>
        </w:rPr>
        <w:t>оне</w:t>
      </w:r>
      <w:r w:rsidRPr="00AB448E">
        <w:rPr>
          <w:sz w:val="28"/>
          <w:szCs w:val="28"/>
        </w:rPr>
        <w:t xml:space="preserve">», </w:t>
      </w:r>
      <w:r w:rsidR="00773C2D" w:rsidRPr="00AB448E">
        <w:rPr>
          <w:sz w:val="28"/>
          <w:szCs w:val="28"/>
        </w:rPr>
        <w:t>очень слабый или в</w:t>
      </w:r>
      <w:r w:rsidRPr="00AB448E">
        <w:rPr>
          <w:sz w:val="28"/>
          <w:szCs w:val="28"/>
        </w:rPr>
        <w:t xml:space="preserve"> «красной з</w:t>
      </w:r>
      <w:r w:rsidR="00773C2D" w:rsidRPr="00AB448E">
        <w:rPr>
          <w:sz w:val="28"/>
          <w:szCs w:val="28"/>
        </w:rPr>
        <w:t>оне</w:t>
      </w:r>
      <w:r w:rsidRPr="00AB448E">
        <w:rPr>
          <w:sz w:val="28"/>
          <w:szCs w:val="28"/>
        </w:rPr>
        <w:t>».</w:t>
      </w:r>
    </w:p>
    <w:p w:rsidR="00E8337B" w:rsidRPr="00AB448E" w:rsidRDefault="00E8337B" w:rsidP="00ED1603">
      <w:pPr>
        <w:ind w:firstLine="709"/>
        <w:jc w:val="both"/>
        <w:rPr>
          <w:sz w:val="28"/>
          <w:szCs w:val="28"/>
        </w:rPr>
      </w:pPr>
    </w:p>
    <w:p w:rsidR="00384F57" w:rsidRPr="00AB448E" w:rsidRDefault="00384F57" w:rsidP="00ED1603">
      <w:pPr>
        <w:ind w:firstLine="709"/>
        <w:jc w:val="both"/>
        <w:rPr>
          <w:sz w:val="28"/>
          <w:szCs w:val="28"/>
        </w:rPr>
      </w:pPr>
    </w:p>
    <w:p w:rsidR="0022677A" w:rsidRPr="00AB448E" w:rsidRDefault="0095410A" w:rsidP="0022677A">
      <w:pPr>
        <w:ind w:firstLine="709"/>
        <w:jc w:val="center"/>
        <w:rPr>
          <w:rStyle w:val="s0"/>
          <w:b/>
          <w:sz w:val="28"/>
          <w:szCs w:val="28"/>
        </w:rPr>
      </w:pPr>
      <w:r w:rsidRPr="00AB448E">
        <w:rPr>
          <w:rStyle w:val="s0"/>
          <w:b/>
          <w:sz w:val="28"/>
          <w:szCs w:val="28"/>
          <w:lang w:val="kk-KZ"/>
        </w:rPr>
        <w:t xml:space="preserve">Таблица </w:t>
      </w:r>
      <w:r w:rsidRPr="00AB448E">
        <w:rPr>
          <w:rStyle w:val="s0"/>
          <w:b/>
          <w:sz w:val="28"/>
          <w:szCs w:val="28"/>
        </w:rPr>
        <w:t xml:space="preserve">1. </w:t>
      </w:r>
      <w:r w:rsidR="0022677A" w:rsidRPr="00AB448E">
        <w:rPr>
          <w:rStyle w:val="s0"/>
          <w:b/>
          <w:sz w:val="28"/>
          <w:szCs w:val="28"/>
        </w:rPr>
        <w:t xml:space="preserve">Интервалы оценки коэффициентов </w:t>
      </w:r>
      <w:r w:rsidR="0022677A" w:rsidRPr="00AB448E">
        <w:rPr>
          <w:rStyle w:val="s0"/>
          <w:b/>
          <w:sz w:val="28"/>
          <w:szCs w:val="28"/>
          <w:lang w:val="en-US"/>
        </w:rPr>
        <w:t>EWS</w:t>
      </w:r>
      <w:r w:rsidR="00443E83" w:rsidRPr="00AB448E">
        <w:rPr>
          <w:b/>
          <w:sz w:val="28"/>
          <w:szCs w:val="28"/>
        </w:rPr>
        <w:t xml:space="preserve"> </w:t>
      </w:r>
    </w:p>
    <w:p w:rsidR="00D00F59" w:rsidRPr="00AB448E" w:rsidRDefault="00D00F59" w:rsidP="0022677A">
      <w:pPr>
        <w:ind w:firstLine="709"/>
        <w:jc w:val="center"/>
        <w:rPr>
          <w:b/>
          <w:sz w:val="28"/>
          <w:szCs w:val="28"/>
        </w:rPr>
      </w:pPr>
    </w:p>
    <w:tbl>
      <w:tblPr>
        <w:tblW w:w="10001" w:type="dxa"/>
        <w:tblLayout w:type="fixed"/>
        <w:tblLook w:val="04A0" w:firstRow="1" w:lastRow="0" w:firstColumn="1" w:lastColumn="0" w:noHBand="0" w:noVBand="1"/>
      </w:tblPr>
      <w:tblGrid>
        <w:gridCol w:w="498"/>
        <w:gridCol w:w="4005"/>
        <w:gridCol w:w="850"/>
        <w:gridCol w:w="2324"/>
        <w:gridCol w:w="2324"/>
      </w:tblGrid>
      <w:tr w:rsidR="00336024" w:rsidRPr="00AB448E" w:rsidTr="00336024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B448E">
              <w:rPr>
                <w:rStyle w:val="s0"/>
                <w:b/>
                <w:sz w:val="24"/>
                <w:szCs w:val="24"/>
              </w:rPr>
              <w:t xml:space="preserve">Коэффициенты </w:t>
            </w:r>
            <w:r w:rsidRPr="00AB448E">
              <w:rPr>
                <w:rStyle w:val="s0"/>
                <w:b/>
                <w:sz w:val="24"/>
                <w:szCs w:val="24"/>
                <w:lang w:val="en-US"/>
              </w:rPr>
              <w:t>EWS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B448E">
              <w:rPr>
                <w:b/>
                <w:bCs/>
                <w:sz w:val="24"/>
                <w:szCs w:val="24"/>
              </w:rPr>
              <w:t>Уро-</w:t>
            </w:r>
            <w:proofErr w:type="spellStart"/>
            <w:r w:rsidRPr="00AB448E">
              <w:rPr>
                <w:b/>
                <w:bCs/>
                <w:sz w:val="24"/>
                <w:szCs w:val="24"/>
              </w:rPr>
              <w:t>вень</w:t>
            </w:r>
            <w:proofErr w:type="spellEnd"/>
            <w:proofErr w:type="gramEnd"/>
          </w:p>
        </w:tc>
        <w:tc>
          <w:tcPr>
            <w:tcW w:w="464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Интервалы оценки</w:t>
            </w:r>
          </w:p>
        </w:tc>
      </w:tr>
      <w:tr w:rsidR="00336024" w:rsidRPr="00AB448E" w:rsidTr="00336024">
        <w:trPr>
          <w:trHeight w:val="2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</w:rPr>
              <w:t>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024" w:rsidRPr="00AB448E" w:rsidRDefault="00336024" w:rsidP="00D00F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</w:rPr>
              <w:t>КСЖ</w:t>
            </w:r>
          </w:p>
        </w:tc>
      </w:tr>
      <w:tr w:rsidR="00840229" w:rsidRPr="00AB448E" w:rsidTr="00336024">
        <w:trPr>
          <w:trHeight w:val="2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29" w:rsidRPr="00AB448E" w:rsidRDefault="00840229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229" w:rsidRPr="00AB448E" w:rsidRDefault="00840229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Капитал</w:t>
            </w:r>
          </w:p>
        </w:tc>
      </w:tr>
      <w:tr w:rsidR="001E630E" w:rsidRPr="00AB448E" w:rsidTr="00075433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075433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 xml:space="preserve">Норматив достаточности маржи платежеспособности (НМП)  </w:t>
            </w:r>
            <w:r w:rsidRPr="00AB448E">
              <w:rPr>
                <w:sz w:val="24"/>
                <w:szCs w:val="24"/>
              </w:rPr>
              <w:br/>
            </w:r>
            <w:r w:rsidRPr="00AB448E">
              <w:rPr>
                <w:b/>
                <w:bCs/>
                <w:sz w:val="24"/>
                <w:szCs w:val="24"/>
              </w:rPr>
              <w:t>НМП= ФМП/ММП</w:t>
            </w:r>
            <w:r w:rsidRPr="00AB448E">
              <w:rPr>
                <w:sz w:val="24"/>
                <w:szCs w:val="24"/>
              </w:rPr>
              <w:br/>
              <w:t>ФМП – фактическая маржа платежеспособности</w:t>
            </w:r>
            <w:r w:rsidR="00921F6B" w:rsidRPr="00AB448E">
              <w:rPr>
                <w:sz w:val="24"/>
                <w:szCs w:val="24"/>
              </w:rPr>
              <w:t xml:space="preserve"> по состоянию на отчетную дату</w:t>
            </w:r>
            <w:r w:rsidRPr="00AB448E">
              <w:rPr>
                <w:sz w:val="24"/>
                <w:szCs w:val="24"/>
              </w:rPr>
              <w:t>;</w:t>
            </w:r>
            <w:r w:rsidRPr="00AB448E">
              <w:rPr>
                <w:sz w:val="24"/>
                <w:szCs w:val="24"/>
              </w:rPr>
              <w:br/>
              <w:t>ММП – минимальный размер маржи платежеспособности</w:t>
            </w:r>
            <w:r w:rsidR="00921F6B" w:rsidRPr="00AB448E">
              <w:rPr>
                <w:sz w:val="24"/>
                <w:szCs w:val="24"/>
              </w:rPr>
              <w:t xml:space="preserve"> по состоянию на отчетную дату</w:t>
            </w:r>
            <w:r w:rsidRPr="00AB448E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33602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A61B6D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НМП ≥ μ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r w:rsidRPr="00AB448E">
              <w:rPr>
                <w:sz w:val="24"/>
                <w:szCs w:val="24"/>
              </w:rPr>
              <w:t>+0,5σ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НМП ≥ μ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r w:rsidRPr="00AB448E">
              <w:rPr>
                <w:sz w:val="24"/>
                <w:szCs w:val="24"/>
              </w:rPr>
              <w:t>+0,5σ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</w:p>
        </w:tc>
      </w:tr>
      <w:tr w:rsidR="001E630E" w:rsidRPr="00AB448E" w:rsidTr="00075433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0754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33602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A61B6D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proofErr w:type="spellEnd"/>
            <w:r w:rsidRPr="00AB448E">
              <w:rPr>
                <w:sz w:val="24"/>
                <w:szCs w:val="24"/>
              </w:rPr>
              <w:t xml:space="preserve"> ≤ НМП &lt; μ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r w:rsidRPr="00AB448E">
              <w:rPr>
                <w:sz w:val="24"/>
                <w:szCs w:val="24"/>
              </w:rPr>
              <w:t>+0,5σ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proofErr w:type="spellEnd"/>
            <w:r w:rsidRPr="00AB448E">
              <w:rPr>
                <w:sz w:val="24"/>
                <w:szCs w:val="24"/>
              </w:rPr>
              <w:t xml:space="preserve"> ≤ НМП &lt; μ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r w:rsidRPr="00AB448E">
              <w:rPr>
                <w:sz w:val="24"/>
                <w:szCs w:val="24"/>
              </w:rPr>
              <w:t>+0,5σ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</w:p>
        </w:tc>
      </w:tr>
      <w:tr w:rsidR="001E630E" w:rsidRPr="00AB448E" w:rsidTr="00075433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0754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33602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A61B6D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r w:rsidRPr="00AB448E">
              <w:rPr>
                <w:sz w:val="24"/>
                <w:szCs w:val="24"/>
              </w:rPr>
              <w:t xml:space="preserve"> ≤ НМП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r w:rsidRPr="00AB448E">
              <w:rPr>
                <w:sz w:val="24"/>
                <w:szCs w:val="24"/>
              </w:rPr>
              <w:t xml:space="preserve"> ≤ НМП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proofErr w:type="spellEnd"/>
          </w:p>
        </w:tc>
      </w:tr>
      <w:tr w:rsidR="001E630E" w:rsidRPr="00AB448E" w:rsidTr="00075433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07543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33602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3F0BE6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НМП &lt; μ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  <w:r w:rsidRPr="00AB448E">
              <w:rPr>
                <w:sz w:val="24"/>
                <w:szCs w:val="24"/>
              </w:rPr>
              <w:t>-0,5σ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НМП &lt; μ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  <w:r w:rsidRPr="00AB448E">
              <w:rPr>
                <w:sz w:val="24"/>
                <w:szCs w:val="24"/>
              </w:rPr>
              <w:t>-0,5σ</w:t>
            </w:r>
            <w:r w:rsidR="00BF24DD" w:rsidRPr="00AB448E">
              <w:rPr>
                <w:sz w:val="24"/>
                <w:szCs w:val="24"/>
                <w:vertAlign w:val="subscript"/>
              </w:rPr>
              <w:t>нмпксж</w:t>
            </w:r>
          </w:p>
        </w:tc>
      </w:tr>
      <w:tr w:rsidR="00A61B6D" w:rsidRPr="00AB448E" w:rsidTr="00075433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6D" w:rsidRPr="00AB448E" w:rsidRDefault="00A61B6D" w:rsidP="00075433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6D" w:rsidRPr="00AB448E" w:rsidRDefault="00A61B6D" w:rsidP="00B8754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Коэффициент валового риска 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Квр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Квр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=СП/К</w:t>
            </w:r>
            <w:r w:rsidRPr="00AB448E">
              <w:rPr>
                <w:color w:val="auto"/>
                <w:sz w:val="24"/>
                <w:szCs w:val="24"/>
              </w:rPr>
              <w:br/>
              <w:t>СП - страховые премии, принятые по договорам страхования (перестрахования), с учетом расторжения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 xml:space="preserve"> – итого капитал по балансу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6D" w:rsidRPr="00AB448E" w:rsidRDefault="00A61B6D" w:rsidP="00BF24DD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КВР ≤ μ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r w:rsidRPr="00AB448E">
              <w:rPr>
                <w:sz w:val="24"/>
                <w:szCs w:val="24"/>
              </w:rPr>
              <w:t>-0,5σ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КВР ≤ μ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A61B6D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r w:rsidRPr="00AB448E">
              <w:rPr>
                <w:sz w:val="24"/>
                <w:szCs w:val="24"/>
              </w:rPr>
              <w:t>-0,5σ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r w:rsidRPr="00AB448E">
              <w:rPr>
                <w:sz w:val="24"/>
                <w:szCs w:val="24"/>
              </w:rPr>
              <w:t xml:space="preserve"> &lt; КВР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r w:rsidRPr="00AB448E">
              <w:rPr>
                <w:sz w:val="24"/>
                <w:szCs w:val="24"/>
              </w:rPr>
              <w:t xml:space="preserve"> &lt;КВР≤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proofErr w:type="spellEnd"/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BE20AF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proofErr w:type="spellEnd"/>
            <w:r w:rsidRPr="00AB448E">
              <w:rPr>
                <w:sz w:val="24"/>
                <w:szCs w:val="24"/>
              </w:rPr>
              <w:t xml:space="preserve"> &lt; КВР ≤ μ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r w:rsidRPr="00AB448E">
              <w:rPr>
                <w:sz w:val="24"/>
                <w:szCs w:val="24"/>
              </w:rPr>
              <w:t>+0,5σ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proofErr w:type="spellEnd"/>
            <w:r w:rsidRPr="00AB448E">
              <w:rPr>
                <w:sz w:val="24"/>
                <w:szCs w:val="24"/>
              </w:rPr>
              <w:t xml:space="preserve"> &lt; КВР ≤ μ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BE20AF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КВР &gt; μ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  <w:r w:rsidRPr="00AB448E">
              <w:rPr>
                <w:sz w:val="24"/>
                <w:szCs w:val="24"/>
              </w:rPr>
              <w:t>+0,5σ</w:t>
            </w:r>
            <w:r w:rsidR="00BF24DD" w:rsidRPr="00AB448E">
              <w:rPr>
                <w:sz w:val="24"/>
                <w:szCs w:val="24"/>
                <w:vertAlign w:val="subscript"/>
              </w:rPr>
              <w:t>квркос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КВР &gt; μ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кврксж</w:t>
            </w:r>
          </w:p>
        </w:tc>
      </w:tr>
      <w:tr w:rsidR="00840229" w:rsidRPr="00AB448E" w:rsidTr="00075433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29" w:rsidRPr="00AB448E" w:rsidRDefault="00840229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229" w:rsidRPr="00AB448E" w:rsidRDefault="00840229" w:rsidP="00D00F59">
            <w:pPr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B448E">
              <w:rPr>
                <w:b/>
                <w:bCs/>
                <w:color w:val="auto"/>
                <w:sz w:val="24"/>
                <w:szCs w:val="24"/>
              </w:rPr>
              <w:t>Активы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6D" w:rsidRPr="00AB448E" w:rsidRDefault="00A61B6D" w:rsidP="00B30110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Доля облигаций с рейтингом финансовой надежности ниже уровня суверенного рейтинга Республики Казахстан в активах </w:t>
            </w:r>
            <w:r w:rsidRPr="00AB448E">
              <w:rPr>
                <w:color w:val="auto"/>
                <w:sz w:val="24"/>
                <w:szCs w:val="24"/>
              </w:rPr>
              <w:lastRenderedPageBreak/>
              <w:t>(ДО)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Pr="00AB448E">
              <w:rPr>
                <w:b/>
                <w:bCs/>
                <w:color w:val="auto"/>
                <w:sz w:val="24"/>
                <w:szCs w:val="24"/>
              </w:rPr>
              <w:t>ДО</w:t>
            </w:r>
            <w:proofErr w:type="gramStart"/>
            <w:r w:rsidRPr="00AB448E">
              <w:rPr>
                <w:b/>
                <w:bCs/>
                <w:color w:val="auto"/>
                <w:sz w:val="24"/>
                <w:szCs w:val="24"/>
              </w:rPr>
              <w:t>=О</w:t>
            </w:r>
            <w:proofErr w:type="gramEnd"/>
            <w:r w:rsidRPr="00AB448E">
              <w:rPr>
                <w:b/>
                <w:bCs/>
                <w:color w:val="auto"/>
                <w:sz w:val="24"/>
                <w:szCs w:val="24"/>
              </w:rPr>
              <w:t>б/А</w:t>
            </w:r>
            <w:r w:rsidRPr="00AB448E">
              <w:rPr>
                <w:color w:val="auto"/>
                <w:sz w:val="24"/>
                <w:szCs w:val="24"/>
              </w:rPr>
              <w:br/>
              <w:t>Об – облигации с рейтингом ниже суверенного рейтинга Республики Казахстан</w:t>
            </w:r>
            <w:r w:rsidR="00921F6B" w:rsidRPr="00AB448E">
              <w:rPr>
                <w:sz w:val="24"/>
                <w:szCs w:val="24"/>
              </w:rPr>
              <w:t xml:space="preserve"> 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А - итого активы по балансу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ДО ≤ μ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ДО ≤ μ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B30110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A61B6D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r w:rsidRPr="00AB448E">
              <w:rPr>
                <w:sz w:val="24"/>
                <w:szCs w:val="24"/>
              </w:rPr>
              <w:t xml:space="preserve"> &lt;ДО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r w:rsidRPr="00AB448E">
              <w:rPr>
                <w:sz w:val="24"/>
                <w:szCs w:val="24"/>
              </w:rPr>
              <w:t xml:space="preserve"> &lt;ДО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proofErr w:type="spellEnd"/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B30110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A61B6D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proofErr w:type="spellEnd"/>
            <w:r w:rsidRPr="00AB448E">
              <w:rPr>
                <w:sz w:val="24"/>
                <w:szCs w:val="24"/>
              </w:rPr>
              <w:t xml:space="preserve"> &lt; ДО ≤ </w:t>
            </w:r>
            <w:r w:rsidRPr="00AB448E">
              <w:rPr>
                <w:sz w:val="24"/>
                <w:szCs w:val="24"/>
              </w:rPr>
              <w:lastRenderedPageBreak/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lastRenderedPageBreak/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proofErr w:type="spellEnd"/>
            <w:r w:rsidRPr="00AB448E">
              <w:rPr>
                <w:sz w:val="24"/>
                <w:szCs w:val="24"/>
              </w:rPr>
              <w:t xml:space="preserve"> &lt; ДО ≤ </w:t>
            </w:r>
            <w:r w:rsidRPr="00AB448E">
              <w:rPr>
                <w:sz w:val="24"/>
                <w:szCs w:val="24"/>
              </w:rPr>
              <w:lastRenderedPageBreak/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B30110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ДО &gt; μ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ДО &gt; μ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доксж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6D" w:rsidRPr="00AB448E" w:rsidRDefault="00A61B6D" w:rsidP="005568FF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Отношение прочей дебиторской задолженности к чистым активам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Дп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=ПДЗ/ЧА</w:t>
            </w:r>
            <w:r w:rsidRPr="00AB448E">
              <w:rPr>
                <w:color w:val="auto"/>
                <w:sz w:val="24"/>
                <w:szCs w:val="24"/>
              </w:rPr>
              <w:br/>
              <w:t>ПДЗ – прочая дебиторская задолженность (за вычетом резервов на обесценение) по балансу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ЧА – сумма активов за минусом активов перестрахования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6D" w:rsidRPr="00AB448E" w:rsidRDefault="00A61B6D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ДП ≤ μ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5568FF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A61B6D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r w:rsidRPr="00AB448E">
              <w:rPr>
                <w:sz w:val="24"/>
                <w:szCs w:val="24"/>
              </w:rPr>
              <w:t xml:space="preserve"> &lt;ДП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5568FF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proofErr w:type="spellEnd"/>
            <w:r w:rsidRPr="00AB448E">
              <w:rPr>
                <w:sz w:val="24"/>
                <w:szCs w:val="24"/>
              </w:rPr>
              <w:t xml:space="preserve"> &lt; ДП ≤ μ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5568FF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ДП &gt; μ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  <w:proofErr w:type="gramStart"/>
            <w:r w:rsidRPr="00AB448E">
              <w:rPr>
                <w:color w:val="auto"/>
                <w:sz w:val="24"/>
                <w:szCs w:val="24"/>
              </w:rPr>
              <w:t>Доля просроченной задолженности в общей сумме к получению от перестраховщиков, страховых премиях к получению от страхователей (перестрахователей) и посредников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Кпз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Кпз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=ПЗ/СДЗ</w:t>
            </w:r>
            <w:r w:rsidRPr="00AB448E">
              <w:rPr>
                <w:color w:val="auto"/>
                <w:sz w:val="24"/>
                <w:szCs w:val="24"/>
              </w:rPr>
              <w:br/>
              <w:t>ПЗ – просроченная задолженность в сумме к получению от перестраховщиков, страховых премиях к получению от страхователей (перестрахователей) и посредников (за вычетом резервов на обесценение)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br/>
              <w:t xml:space="preserve">СДЗ  – общая сумма к получению от перестраховщиков, страховых </w:t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премиях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 xml:space="preserve"> к получению от страхователей (перестрахователей) и посредников (за вычетом резервов на обесценение)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6D" w:rsidRPr="00AB448E" w:rsidRDefault="00A61B6D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КПЗ ≤ μ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КПЗ ≤ μ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r w:rsidRPr="00AB448E">
              <w:rPr>
                <w:sz w:val="24"/>
                <w:szCs w:val="24"/>
              </w:rPr>
              <w:t xml:space="preserve"> &lt; КПЗ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r w:rsidRPr="00AB448E">
              <w:rPr>
                <w:sz w:val="24"/>
                <w:szCs w:val="24"/>
              </w:rPr>
              <w:t xml:space="preserve"> &lt; КПЗ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proofErr w:type="spellEnd"/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proofErr w:type="spellEnd"/>
            <w:r w:rsidRPr="00AB448E">
              <w:rPr>
                <w:sz w:val="24"/>
                <w:szCs w:val="24"/>
              </w:rPr>
              <w:t xml:space="preserve"> &lt; КПЗ ≤ μ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proofErr w:type="spellEnd"/>
            <w:r w:rsidRPr="00AB448E">
              <w:rPr>
                <w:sz w:val="24"/>
                <w:szCs w:val="24"/>
              </w:rPr>
              <w:t xml:space="preserve"> &lt; КПЗ ≤ μ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КПЗ &gt; μ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КПЗ &gt; μ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кпзксж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6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Отношение сумм к получению от перестраховщиков, страховых </w:t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премиях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 xml:space="preserve"> к получению от страхователей (перестрахователей) и посредников к чистым активам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Дс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Дс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=СДЗ/ЧА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СДЗ – общая сумма к получению от перестраховщиков, страховых </w:t>
            </w:r>
            <w:r w:rsidRPr="00AB448E">
              <w:rPr>
                <w:color w:val="auto"/>
                <w:sz w:val="24"/>
                <w:szCs w:val="24"/>
              </w:rPr>
              <w:lastRenderedPageBreak/>
              <w:t>премиях к получению от страхователей (перестрахователей) и посредников (за вычетом резервов на обесценение)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ЧА – сумма активов за минусом активов перестрахования</w:t>
            </w:r>
            <w:r w:rsidR="00921F6B" w:rsidRPr="00AB448E">
              <w:rPr>
                <w:sz w:val="24"/>
                <w:szCs w:val="24"/>
              </w:rPr>
              <w:t xml:space="preserve"> 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 ≤ μ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A61B6D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r w:rsidRPr="00AB448E">
              <w:rPr>
                <w:sz w:val="24"/>
                <w:szCs w:val="24"/>
              </w:rPr>
              <w:t xml:space="preserve"> &lt; ДС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proofErr w:type="spellEnd"/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A61B6D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proofErr w:type="spellEnd"/>
            <w:r w:rsidRPr="00AB448E">
              <w:rPr>
                <w:sz w:val="24"/>
                <w:szCs w:val="24"/>
              </w:rPr>
              <w:t xml:space="preserve"> &lt; ДС ≤ μ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</w:p>
        </w:tc>
      </w:tr>
      <w:tr w:rsidR="00A61B6D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B6D" w:rsidRPr="00AB448E" w:rsidRDefault="00A61B6D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B6D" w:rsidRPr="00AB448E" w:rsidRDefault="00A61B6D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6D" w:rsidRPr="00AB448E" w:rsidRDefault="00A61B6D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1B6D" w:rsidRPr="00AB448E" w:rsidRDefault="00A61B6D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 &gt; μ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дсксж</w:t>
            </w:r>
          </w:p>
        </w:tc>
      </w:tr>
      <w:tr w:rsidR="00840229" w:rsidRPr="00AB448E" w:rsidTr="00336024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229" w:rsidRPr="00AB448E" w:rsidRDefault="00840229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0229" w:rsidRPr="00AB448E" w:rsidRDefault="00840229" w:rsidP="00D00F59">
            <w:pPr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B448E">
              <w:rPr>
                <w:b/>
                <w:bCs/>
                <w:color w:val="auto"/>
                <w:sz w:val="24"/>
                <w:szCs w:val="24"/>
              </w:rPr>
              <w:t>Резервы и перестрахование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7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B8754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Размер страховых резервов, определяется как отношение чистых страховых резервов к  чистым страховым премиям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Дср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Дср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=ЧСР/ЧСП</w:t>
            </w:r>
            <w:r w:rsidRPr="00AB448E">
              <w:rPr>
                <w:color w:val="auto"/>
                <w:sz w:val="24"/>
                <w:szCs w:val="24"/>
              </w:rPr>
              <w:br/>
              <w:t>ЧСР – чистая сумма общих страховых резервов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ЧСП – чистая сумма страховых премий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  <w:r w:rsidRPr="00AB448E">
              <w:rPr>
                <w:color w:val="auto"/>
                <w:sz w:val="24"/>
                <w:szCs w:val="24"/>
              </w:rPr>
              <w:br/>
              <w:t>*Для КСЖ рассчитывается только по договорам обязательного страхования работника от несчастных случаев при исполнении им трудовых (служебных) обязанностей, добровольного страхования от несчастных случаев, страхования на случай 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ДСР ≥ μ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ДСР ≥ μ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proofErr w:type="spellEnd"/>
            <w:r w:rsidRPr="00AB448E">
              <w:rPr>
                <w:sz w:val="24"/>
                <w:szCs w:val="24"/>
              </w:rPr>
              <w:t xml:space="preserve"> ≤ ДСР &lt; μ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proofErr w:type="spellEnd"/>
            <w:r w:rsidRPr="00AB448E">
              <w:rPr>
                <w:sz w:val="24"/>
                <w:szCs w:val="24"/>
              </w:rPr>
              <w:t xml:space="preserve"> ≤ ДСР &lt; μ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</w:p>
        </w:tc>
      </w:tr>
      <w:tr w:rsidR="001E630E" w:rsidRPr="00AB448E" w:rsidTr="005E38A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r w:rsidRPr="00AB448E">
              <w:rPr>
                <w:sz w:val="24"/>
                <w:szCs w:val="24"/>
              </w:rPr>
              <w:t xml:space="preserve"> ≤ ДСР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r w:rsidRPr="00AB448E">
              <w:rPr>
                <w:sz w:val="24"/>
                <w:szCs w:val="24"/>
              </w:rPr>
              <w:t xml:space="preserve"> ≤ ДСР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proofErr w:type="spellEnd"/>
          </w:p>
        </w:tc>
      </w:tr>
      <w:tr w:rsidR="001E630E" w:rsidRPr="00AB448E" w:rsidTr="005E38A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ДСР &lt; μ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ДСР &lt; μ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дсрксж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8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5B0E77" w:rsidP="00B8754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Оценка дефицита резервов к капиталу (Одр)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Ддср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=(Ку</w:t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1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>+Ку2)/2*ЧЗП-</w:t>
            </w:r>
            <w:r w:rsidR="00772755" w:rsidRPr="00AB448E">
              <w:rPr>
                <w:color w:val="auto"/>
                <w:sz w:val="24"/>
                <w:szCs w:val="24"/>
              </w:rPr>
              <w:t>Ч</w:t>
            </w:r>
            <w:r w:rsidRPr="00AB448E">
              <w:rPr>
                <w:color w:val="auto"/>
                <w:sz w:val="24"/>
                <w:szCs w:val="24"/>
              </w:rPr>
              <w:t>РУ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Ддср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– сумма дефицита страховых резервов;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Ку1 – Коэффициент убыточности за прошлый отчетный период без учета доли перестраховщика 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Ку2 -  Коэффициент убыточности за позапрошлый отчетный период без учета доли перестраховщика </w:t>
            </w:r>
            <w:r w:rsidRPr="00AB448E">
              <w:rPr>
                <w:color w:val="auto"/>
                <w:sz w:val="24"/>
                <w:szCs w:val="24"/>
              </w:rPr>
              <w:br/>
              <w:t>ЧЗП – чистая сумма заработанных страховых премий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="00772755" w:rsidRPr="00AB448E">
              <w:rPr>
                <w:color w:val="auto"/>
                <w:sz w:val="24"/>
                <w:szCs w:val="24"/>
              </w:rPr>
              <w:t>Ч</w:t>
            </w:r>
            <w:r w:rsidRPr="00AB448E">
              <w:rPr>
                <w:color w:val="auto"/>
                <w:sz w:val="24"/>
                <w:szCs w:val="24"/>
              </w:rPr>
              <w:t>РУ – размер чистой суммы резервов произошедших, но незаявленных убытков и заявленных, но неурегулированных убытков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Pr="00AB448E">
              <w:rPr>
                <w:b/>
                <w:bCs/>
                <w:color w:val="auto"/>
                <w:sz w:val="24"/>
                <w:szCs w:val="24"/>
              </w:rPr>
              <w:lastRenderedPageBreak/>
              <w:t>Одр=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Ддср</w:t>
            </w:r>
            <w:proofErr w:type="spellEnd"/>
            <w:proofErr w:type="gramStart"/>
            <w:r w:rsidRPr="00AB448E">
              <w:rPr>
                <w:b/>
                <w:bCs/>
                <w:color w:val="auto"/>
                <w:sz w:val="24"/>
                <w:szCs w:val="24"/>
              </w:rPr>
              <w:t>/К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br/>
              <w:t>СК – итого капитал по балансу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1E630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ОДР ≤ μ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r w:rsidRPr="00AB448E">
              <w:rPr>
                <w:sz w:val="24"/>
                <w:szCs w:val="24"/>
              </w:rPr>
              <w:t xml:space="preserve"> &lt; ОДР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proofErr w:type="spellEnd"/>
            <w:r w:rsidRPr="00AB448E">
              <w:rPr>
                <w:sz w:val="24"/>
                <w:szCs w:val="24"/>
              </w:rPr>
              <w:t xml:space="preserve"> &lt; ОДР ≤ μ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EF1A2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ОДР &gt; μ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одркос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B8754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Доля страховых премий, переданных в перестрахование в страховых премиях, принятых по договорам страхования (перестрахования)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Дпп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Дпп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Пп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/СП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Пп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- страховые премии, переданные на перестрахование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,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СП - страховые премии, принятые по договорам страхования (перестрахования), с учетом расторжения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,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ДПП ≤ μ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ДПП ≤ μ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C055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r w:rsidRPr="00AB448E">
              <w:rPr>
                <w:sz w:val="24"/>
                <w:szCs w:val="24"/>
              </w:rPr>
              <w:t xml:space="preserve"> &lt; ДПП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r w:rsidRPr="00AB448E">
              <w:rPr>
                <w:sz w:val="24"/>
                <w:szCs w:val="24"/>
              </w:rPr>
              <w:t xml:space="preserve"> &lt; ДПП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C055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proofErr w:type="spellEnd"/>
            <w:r w:rsidRPr="00AB448E">
              <w:rPr>
                <w:sz w:val="24"/>
                <w:szCs w:val="24"/>
              </w:rPr>
              <w:t xml:space="preserve"> &lt; ДПП ≤ μ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proofErr w:type="spellEnd"/>
            <w:r w:rsidRPr="00AB448E">
              <w:rPr>
                <w:sz w:val="24"/>
                <w:szCs w:val="24"/>
              </w:rPr>
              <w:t xml:space="preserve"> &lt; ДПП ≤ μ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C0553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ДПП &gt; μ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ДПП &gt; μ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дппксж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10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Причитающиеся возмещения от перестраховщиков по неоплаченным убыткам к капиталу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Кпну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Кпну</w:t>
            </w:r>
            <w:proofErr w:type="spellEnd"/>
            <w:proofErr w:type="gramStart"/>
            <w:r w:rsidRPr="00AB448E">
              <w:rPr>
                <w:b/>
                <w:bCs/>
                <w:color w:val="auto"/>
                <w:sz w:val="24"/>
                <w:szCs w:val="24"/>
              </w:rPr>
              <w:t>=П</w:t>
            </w:r>
            <w:proofErr w:type="gramEnd"/>
            <w:r w:rsidRPr="00AB448E">
              <w:rPr>
                <w:b/>
                <w:bCs/>
                <w:color w:val="auto"/>
                <w:sz w:val="24"/>
                <w:szCs w:val="24"/>
              </w:rPr>
              <w:t>ну/К</w:t>
            </w:r>
            <w:r w:rsidRPr="00AB448E">
              <w:rPr>
                <w:color w:val="auto"/>
                <w:sz w:val="24"/>
                <w:szCs w:val="24"/>
              </w:rPr>
              <w:br/>
              <w:t>Пну – доля перестраховщика в резерве заявленных, но неурегулированных убытков</w:t>
            </w:r>
            <w:r w:rsidR="006E5BC1" w:rsidRPr="00AB448E">
              <w:rPr>
                <w:sz w:val="24"/>
                <w:szCs w:val="24"/>
              </w:rPr>
              <w:t xml:space="preserve"> 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К – итого капитал по балансу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КПНУ ≤ μ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r w:rsidRPr="00AB448E">
              <w:rPr>
                <w:sz w:val="24"/>
                <w:szCs w:val="24"/>
              </w:rPr>
              <w:t xml:space="preserve"> &lt; КПНУ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proofErr w:type="spellEnd"/>
            <w:r w:rsidRPr="00AB448E">
              <w:rPr>
                <w:sz w:val="24"/>
                <w:szCs w:val="24"/>
              </w:rPr>
              <w:t xml:space="preserve"> &lt; КПНУ ≤ μ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КПНУ &gt; μ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кпнукос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11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474442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Отношение коэффициента выплат к коэффициенту возмещения перестраховщика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Кэп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</w:p>
          <w:p w:rsidR="001E630E" w:rsidRPr="00AB448E" w:rsidRDefault="001E630E" w:rsidP="00B8754A">
            <w:pPr>
              <w:contextualSpacing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AB448E">
              <w:rPr>
                <w:b/>
                <w:bCs/>
                <w:color w:val="auto"/>
                <w:sz w:val="24"/>
                <w:szCs w:val="24"/>
              </w:rPr>
              <w:t>Кэп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Кст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Квп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Кст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=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Росв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/СП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Росв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– расходы по осуществлению страховых выплат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СП - страховые премии, принятые по договорам страхования (перестрахования), с учетом расторжения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,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Квп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=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СВп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Пп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СВп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– возмещение по рискам, полученное по договорам перестрахования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6E5BC1" w:rsidRPr="00AB448E">
              <w:rPr>
                <w:sz w:val="24"/>
                <w:szCs w:val="24"/>
              </w:rPr>
              <w:t xml:space="preserve">последние двенадцать месяцев, </w:t>
            </w:r>
            <w:r w:rsidR="006E5BC1" w:rsidRPr="00AB448E">
              <w:rPr>
                <w:sz w:val="24"/>
                <w:szCs w:val="24"/>
              </w:rPr>
              <w:lastRenderedPageBreak/>
              <w:t>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Пп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- страховые премии, переданные на перестрахование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КЭП ≤ μ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КЭП ≤ μ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r w:rsidRPr="00AB448E">
              <w:rPr>
                <w:sz w:val="24"/>
                <w:szCs w:val="24"/>
              </w:rPr>
              <w:t xml:space="preserve"> &lt; КЭП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r w:rsidRPr="00AB448E">
              <w:rPr>
                <w:sz w:val="24"/>
                <w:szCs w:val="24"/>
              </w:rPr>
              <w:t xml:space="preserve"> &lt; КЭП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proofErr w:type="spellEnd"/>
            <w:r w:rsidRPr="00AB448E">
              <w:rPr>
                <w:sz w:val="24"/>
                <w:szCs w:val="24"/>
              </w:rPr>
              <w:t xml:space="preserve"> &lt; КЭП ≤ μ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proofErr w:type="spellEnd"/>
            <w:r w:rsidRPr="00AB448E">
              <w:rPr>
                <w:sz w:val="24"/>
                <w:szCs w:val="24"/>
              </w:rPr>
              <w:t xml:space="preserve"> &lt; КЭП ≤ μ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КЭП &gt; μ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КЭП &gt; μ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кэпксж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B8754A">
            <w:pPr>
              <w:contextualSpacing/>
              <w:rPr>
                <w:color w:val="auto"/>
                <w:sz w:val="24"/>
                <w:szCs w:val="24"/>
              </w:rPr>
            </w:pPr>
            <w:proofErr w:type="gramStart"/>
            <w:r w:rsidRPr="00AB448E">
              <w:rPr>
                <w:color w:val="auto"/>
                <w:sz w:val="24"/>
                <w:szCs w:val="24"/>
              </w:rPr>
              <w:t>Изменение страховых резервов (ИСР)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Pr="00AB448E">
              <w:rPr>
                <w:b/>
                <w:bCs/>
                <w:color w:val="auto"/>
                <w:sz w:val="24"/>
                <w:szCs w:val="24"/>
              </w:rPr>
              <w:t>ИСР=ИР/ПФР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ИР  – изменение резерва 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непроизошедших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убытков </w:t>
            </w:r>
            <w:r w:rsidR="006E5BC1" w:rsidRPr="00AB448E">
              <w:rPr>
                <w:color w:val="auto"/>
                <w:sz w:val="24"/>
                <w:szCs w:val="24"/>
              </w:rPr>
              <w:t xml:space="preserve">за </w:t>
            </w:r>
            <w:r w:rsidR="006E5BC1" w:rsidRPr="00AB448E">
              <w:rPr>
                <w:sz w:val="24"/>
                <w:szCs w:val="24"/>
              </w:rPr>
              <w:t>последние двенадцать месяцев, предшес</w:t>
            </w:r>
            <w:r w:rsidR="00B8754A" w:rsidRPr="00AB448E">
              <w:rPr>
                <w:sz w:val="24"/>
                <w:szCs w:val="24"/>
              </w:rPr>
              <w:t>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ПФР – предполагаемое формирование страховых резервов по договорам страхования жизни и 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аннуитетного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страхования с начала текущего года (остаток страховых премий после вычета расходов по осуществлению страховых выплат и расходов по выплате комиссионного вознаграждения</w:t>
            </w:r>
            <w:r w:rsidR="00C42527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C42527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ИСР ≥ μ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proofErr w:type="spellEnd"/>
            <w:r w:rsidRPr="00AB448E">
              <w:rPr>
                <w:sz w:val="24"/>
                <w:szCs w:val="24"/>
              </w:rPr>
              <w:t xml:space="preserve"> ≤ ИСР &lt; μ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r w:rsidRPr="00AB448E">
              <w:rPr>
                <w:sz w:val="24"/>
                <w:szCs w:val="24"/>
              </w:rPr>
              <w:t xml:space="preserve"> ≤ ИСР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ИСР &lt; μ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исрксж</w:t>
            </w:r>
          </w:p>
        </w:tc>
      </w:tr>
      <w:tr w:rsidR="0068749F" w:rsidRPr="00AB448E" w:rsidTr="00336024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F" w:rsidRPr="00AB448E" w:rsidRDefault="0068749F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749F" w:rsidRPr="00AB448E" w:rsidRDefault="0068749F" w:rsidP="00D00F59">
            <w:pPr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B448E">
              <w:rPr>
                <w:b/>
                <w:bCs/>
                <w:color w:val="auto"/>
                <w:sz w:val="24"/>
                <w:szCs w:val="24"/>
              </w:rPr>
              <w:t>Менеджмент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13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4A" w:rsidRPr="00AB448E" w:rsidRDefault="001E630E" w:rsidP="00C42527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Ежегодное изменение в капитале (ИК)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Pr="00AB448E">
              <w:rPr>
                <w:b/>
                <w:bCs/>
                <w:color w:val="auto"/>
                <w:sz w:val="24"/>
                <w:szCs w:val="24"/>
              </w:rPr>
              <w:t>ИК=(К/К-1)-1</w:t>
            </w:r>
            <w:proofErr w:type="gramStart"/>
            <w:r w:rsidRPr="00AB448E">
              <w:rPr>
                <w:color w:val="auto"/>
                <w:sz w:val="24"/>
                <w:szCs w:val="24"/>
              </w:rPr>
              <w:br/>
              <w:t>К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 xml:space="preserve"> – итого капитал по балансу</w:t>
            </w:r>
          </w:p>
          <w:p w:rsidR="00B8754A" w:rsidRPr="00AB448E" w:rsidRDefault="00B8754A" w:rsidP="00C42527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по состоянию на отчетную дату;</w:t>
            </w:r>
          </w:p>
          <w:p w:rsidR="001E630E" w:rsidRPr="00AB448E" w:rsidRDefault="001E630E" w:rsidP="00B8754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К-1 - итого капитал по балансу </w:t>
            </w:r>
            <w:r w:rsidR="00B8754A" w:rsidRPr="00AB448E">
              <w:rPr>
                <w:sz w:val="24"/>
                <w:szCs w:val="24"/>
              </w:rPr>
              <w:t xml:space="preserve">по состоянию на 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аналогичную </w:t>
            </w:r>
            <w:r w:rsidR="00B8754A" w:rsidRPr="00AB448E">
              <w:rPr>
                <w:sz w:val="24"/>
                <w:szCs w:val="24"/>
              </w:rPr>
              <w:t xml:space="preserve">отчетную дату </w:t>
            </w:r>
            <w:r w:rsidR="00B8754A" w:rsidRPr="00AB448E">
              <w:rPr>
                <w:color w:val="auto"/>
                <w:sz w:val="24"/>
                <w:szCs w:val="24"/>
              </w:rPr>
              <w:t>прошлого года.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ИК ≥ μ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proofErr w:type="spellEnd"/>
            <w:r w:rsidRPr="00AB448E">
              <w:rPr>
                <w:sz w:val="24"/>
                <w:szCs w:val="24"/>
              </w:rPr>
              <w:t xml:space="preserve"> ≤ ИК &lt; μ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r w:rsidRPr="00AB448E">
              <w:rPr>
                <w:sz w:val="24"/>
                <w:szCs w:val="24"/>
              </w:rPr>
              <w:t xml:space="preserve"> ≤ ИК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6E16C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ИК &lt; μ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иккос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14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EC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Изменение в чистых страховых премиях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Ичп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Ичп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=(ЧСП/ЧСП-1)-1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ЧСП – чистая сумма страховых премий </w:t>
            </w:r>
            <w:r w:rsidR="008F0289" w:rsidRPr="00AB448E">
              <w:rPr>
                <w:color w:val="auto"/>
                <w:sz w:val="24"/>
                <w:szCs w:val="24"/>
              </w:rPr>
              <w:t xml:space="preserve">за </w:t>
            </w:r>
            <w:r w:rsidR="008F0289" w:rsidRPr="00AB448E">
              <w:rPr>
                <w:sz w:val="24"/>
                <w:szCs w:val="24"/>
              </w:rPr>
              <w:t>последние двенадцать месяцев, предшествующих 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ЧСП-1 - чистая сумма страховых премий </w:t>
            </w:r>
          </w:p>
          <w:p w:rsidR="001E630E" w:rsidRPr="00AB448E" w:rsidRDefault="000D0AEC" w:rsidP="00B8754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за </w:t>
            </w:r>
            <w:r w:rsidRPr="00AB448E">
              <w:rPr>
                <w:sz w:val="24"/>
                <w:szCs w:val="24"/>
              </w:rPr>
              <w:t>последние двенадцать месяцев, предшествующих аналогич</w:t>
            </w:r>
            <w:r w:rsidR="00B8754A" w:rsidRPr="00AB448E">
              <w:rPr>
                <w:sz w:val="24"/>
                <w:szCs w:val="24"/>
              </w:rPr>
              <w:t xml:space="preserve">ной </w:t>
            </w:r>
            <w:r w:rsidRPr="00AB448E">
              <w:rPr>
                <w:sz w:val="24"/>
                <w:szCs w:val="24"/>
              </w:rPr>
              <w:t>отчетной дат</w:t>
            </w:r>
            <w:r w:rsidR="00B8754A" w:rsidRPr="00AB448E">
              <w:rPr>
                <w:sz w:val="24"/>
                <w:szCs w:val="24"/>
              </w:rPr>
              <w:t>ы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прошлого года.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ИЧП ≥ μ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proofErr w:type="spellEnd"/>
            <w:r w:rsidRPr="00AB448E">
              <w:rPr>
                <w:sz w:val="24"/>
                <w:szCs w:val="24"/>
              </w:rPr>
              <w:t xml:space="preserve"> ≤ ИЧП &lt; μ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r w:rsidRPr="00AB448E">
              <w:rPr>
                <w:sz w:val="24"/>
                <w:szCs w:val="24"/>
              </w:rPr>
              <w:t xml:space="preserve"> ≤ ИЧП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ИЧП &lt; μ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ичпкос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15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Доля общих и административных расходов в общих доходах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Коар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Коар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=ОАР/ВД</w:t>
            </w:r>
            <w:r w:rsidRPr="00AB448E">
              <w:rPr>
                <w:color w:val="auto"/>
                <w:sz w:val="24"/>
                <w:szCs w:val="24"/>
              </w:rPr>
              <w:br/>
              <w:t>ОАР – сумма общих и административных расходов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 xml:space="preserve">последние двенадцать месяцев, </w:t>
            </w:r>
            <w:r w:rsidR="00B8754A" w:rsidRPr="00AB448E">
              <w:rPr>
                <w:sz w:val="24"/>
                <w:szCs w:val="24"/>
              </w:rPr>
              <w:lastRenderedPageBreak/>
              <w:t>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ВД – итого доходов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033E71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КОАР ≤ μ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r w:rsidRPr="00AB448E">
              <w:rPr>
                <w:sz w:val="24"/>
                <w:szCs w:val="24"/>
              </w:rPr>
              <w:t>-0,5σ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r w:rsidRPr="00AB448E">
              <w:rPr>
                <w:sz w:val="24"/>
                <w:szCs w:val="24"/>
              </w:rPr>
              <w:t xml:space="preserve"> &lt; КОАР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proofErr w:type="spellEnd"/>
            <w:r w:rsidRPr="00AB448E">
              <w:rPr>
                <w:sz w:val="24"/>
                <w:szCs w:val="24"/>
              </w:rPr>
              <w:t xml:space="preserve"> &lt; КОАР ≤ μ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КОАР &gt; μ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  <w:r w:rsidRPr="00AB448E">
              <w:rPr>
                <w:sz w:val="24"/>
                <w:szCs w:val="24"/>
              </w:rPr>
              <w:t>+0,5σ</w:t>
            </w:r>
            <w:r w:rsidR="00033E71" w:rsidRPr="00AB448E">
              <w:rPr>
                <w:sz w:val="24"/>
                <w:szCs w:val="24"/>
                <w:vertAlign w:val="subscript"/>
              </w:rPr>
              <w:t>коаркос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Доля общих и административных расходов в страховых премиях, принятых по договорам страхования (перестрахования)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Коарж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Коарж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=ОАР/СП</w:t>
            </w:r>
            <w:r w:rsidRPr="00AB448E">
              <w:rPr>
                <w:color w:val="auto"/>
                <w:sz w:val="24"/>
                <w:szCs w:val="24"/>
              </w:rPr>
              <w:br/>
              <w:t>ОАР – сумма общих и административных расходов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СП – страховые премии, принятые по договорам страхования (перестрахования), с учетом расторжения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467E30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КОАРЖ ≤ μ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r w:rsidRPr="00AB448E">
              <w:rPr>
                <w:sz w:val="24"/>
                <w:szCs w:val="24"/>
              </w:rPr>
              <w:t xml:space="preserve"> &lt; КОАРЖ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proofErr w:type="spellEnd"/>
            <w:r w:rsidRPr="00AB448E">
              <w:rPr>
                <w:sz w:val="24"/>
                <w:szCs w:val="24"/>
              </w:rPr>
              <w:t xml:space="preserve"> &lt; КОАРЖ ≤ μ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</w:p>
        </w:tc>
      </w:tr>
      <w:tr w:rsidR="001E630E" w:rsidRPr="00AB448E" w:rsidTr="004A209B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КОАРЖ &gt; μ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коаржксж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17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Коэффициент инвестиционного дохода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Кид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Кид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=ИД/И</w:t>
            </w:r>
            <w:r w:rsidRPr="00AB448E">
              <w:rPr>
                <w:color w:val="auto"/>
                <w:sz w:val="24"/>
                <w:szCs w:val="24"/>
              </w:rPr>
              <w:br/>
              <w:t>ИД – доходы от инвестиционной деятельности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И – общая сумма инвестиций во вклады (депозиты, текущие счета) в банках второго уровня и ценные бумаги, в том числе приобретенные на условиях «обратного РЕПО»,  </w:t>
            </w:r>
            <w:r w:rsidR="00B8754A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467E30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КИД ≥ μ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proofErr w:type="spellEnd"/>
            <w:r w:rsidRPr="00AB448E">
              <w:rPr>
                <w:sz w:val="24"/>
                <w:szCs w:val="24"/>
              </w:rPr>
              <w:t xml:space="preserve"> ≤ КИД &lt; μ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r w:rsidRPr="00AB448E">
              <w:rPr>
                <w:sz w:val="24"/>
                <w:szCs w:val="24"/>
              </w:rPr>
              <w:t xml:space="preserve"> ≤ КИД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D00F59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КИД &lt; μ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кидксж</w:t>
            </w:r>
          </w:p>
        </w:tc>
      </w:tr>
      <w:tr w:rsidR="0068749F" w:rsidRPr="00AB448E" w:rsidTr="004A209B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49F" w:rsidRPr="00AB448E" w:rsidRDefault="0068749F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49F" w:rsidRPr="00AB448E" w:rsidRDefault="0068749F" w:rsidP="00D00F59">
            <w:pPr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B448E">
              <w:rPr>
                <w:b/>
                <w:bCs/>
                <w:color w:val="auto"/>
                <w:sz w:val="24"/>
                <w:szCs w:val="24"/>
              </w:rPr>
              <w:t>Доходность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18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Рентабельность капитала (РК)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Pr="00AB448E">
              <w:rPr>
                <w:b/>
                <w:bCs/>
                <w:color w:val="auto"/>
                <w:sz w:val="24"/>
                <w:szCs w:val="24"/>
              </w:rPr>
              <w:t>РК=ЧД/К</w:t>
            </w:r>
            <w:r w:rsidRPr="00AB448E">
              <w:rPr>
                <w:color w:val="auto"/>
                <w:sz w:val="24"/>
                <w:szCs w:val="24"/>
              </w:rPr>
              <w:br/>
              <w:t>ЧП – Итого чистая прибыль (убыток) после уплаты налогов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 xml:space="preserve"> – итого капитал по балансу</w:t>
            </w:r>
            <w:r w:rsidR="00921F6B" w:rsidRPr="00AB448E">
              <w:rPr>
                <w:color w:val="auto"/>
                <w:sz w:val="24"/>
                <w:szCs w:val="24"/>
              </w:rPr>
              <w:t xml:space="preserve"> </w:t>
            </w:r>
            <w:r w:rsidR="00921F6B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467E30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РК ≥ μ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РК ≥ μ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proofErr w:type="spellEnd"/>
            <w:r w:rsidRPr="00AB448E">
              <w:rPr>
                <w:sz w:val="24"/>
                <w:szCs w:val="24"/>
              </w:rPr>
              <w:t xml:space="preserve"> ≤ РК &lt; μ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proofErr w:type="spellEnd"/>
            <w:r w:rsidRPr="00AB448E">
              <w:rPr>
                <w:sz w:val="24"/>
                <w:szCs w:val="24"/>
              </w:rPr>
              <w:t xml:space="preserve"> ≤ РК &lt; μ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r w:rsidRPr="00AB448E">
              <w:rPr>
                <w:sz w:val="24"/>
                <w:szCs w:val="24"/>
              </w:rPr>
              <w:t xml:space="preserve"> ≤ РК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r w:rsidRPr="00AB448E">
              <w:rPr>
                <w:sz w:val="24"/>
                <w:szCs w:val="24"/>
              </w:rPr>
              <w:t xml:space="preserve"> ≤ РК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132921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РК &lt; μ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РК &lt; μ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ркксж</w:t>
            </w:r>
          </w:p>
        </w:tc>
      </w:tr>
      <w:tr w:rsidR="00D82029" w:rsidRPr="00AB448E" w:rsidTr="004A209B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29" w:rsidRPr="00AB448E" w:rsidRDefault="00D82029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029" w:rsidRPr="00AB448E" w:rsidRDefault="00D82029" w:rsidP="00D00F59">
            <w:pPr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B448E">
              <w:rPr>
                <w:b/>
                <w:bCs/>
                <w:color w:val="auto"/>
                <w:sz w:val="24"/>
                <w:szCs w:val="24"/>
              </w:rPr>
              <w:t>Ликвидность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19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DD1868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Отношение сумм к получению от перестраховщиков, страховых </w:t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премиях</w:t>
            </w:r>
            <w:proofErr w:type="gramEnd"/>
            <w:r w:rsidRPr="00AB448E">
              <w:rPr>
                <w:color w:val="auto"/>
                <w:sz w:val="24"/>
                <w:szCs w:val="24"/>
              </w:rPr>
              <w:t xml:space="preserve"> к получению от страхователей (перестрахователей) и посредников к чистым активам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Дс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Дс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=СДЗ/ЧА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СДЗ – общая сумма к получению от </w:t>
            </w:r>
            <w:r w:rsidRPr="00AB448E">
              <w:rPr>
                <w:color w:val="auto"/>
                <w:sz w:val="24"/>
                <w:szCs w:val="24"/>
              </w:rPr>
              <w:lastRenderedPageBreak/>
              <w:t>перестраховщиков, страховых премиях к получению от страхователей (перестрахователей) и посредников (за вычетом резервов на обесценение)</w:t>
            </w:r>
            <w:r w:rsidR="00C36AB1" w:rsidRPr="00AB448E">
              <w:rPr>
                <w:color w:val="auto"/>
                <w:sz w:val="24"/>
                <w:szCs w:val="24"/>
              </w:rPr>
              <w:t xml:space="preserve"> </w:t>
            </w:r>
            <w:r w:rsidR="00C36AB1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ЧА – сумма активов за минусом активов перестрахования</w:t>
            </w:r>
            <w:r w:rsidR="00C36AB1" w:rsidRPr="00AB448E">
              <w:rPr>
                <w:color w:val="auto"/>
                <w:sz w:val="24"/>
                <w:szCs w:val="24"/>
              </w:rPr>
              <w:t xml:space="preserve"> </w:t>
            </w:r>
            <w:r w:rsidR="00C36AB1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 ≤ μ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C1655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r w:rsidRPr="00AB448E">
              <w:rPr>
                <w:sz w:val="24"/>
                <w:szCs w:val="24"/>
              </w:rPr>
              <w:t xml:space="preserve"> &lt; ДС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C1655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proofErr w:type="spellEnd"/>
            <w:r w:rsidRPr="00AB448E">
              <w:rPr>
                <w:sz w:val="24"/>
                <w:szCs w:val="24"/>
              </w:rPr>
              <w:t xml:space="preserve"> &lt; ДС ≤ μ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0E3F73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C16558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ДС &gt; μ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дскос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3F56EA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>Коэффициент ликвидности (КЛ)</w:t>
            </w:r>
            <w:r w:rsidRPr="00AB448E">
              <w:rPr>
                <w:color w:val="auto"/>
                <w:sz w:val="24"/>
                <w:szCs w:val="24"/>
              </w:rPr>
              <w:br/>
            </w:r>
            <w:r w:rsidRPr="00AB448E">
              <w:rPr>
                <w:b/>
                <w:bCs/>
                <w:color w:val="auto"/>
                <w:sz w:val="24"/>
                <w:szCs w:val="24"/>
              </w:rPr>
              <w:t>КЛ=ВЛА/(О-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СВп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  <w:t>ВЛА – итого высоколиквидных активов</w:t>
            </w:r>
            <w:r w:rsidR="00C36AB1" w:rsidRPr="00AB448E">
              <w:rPr>
                <w:color w:val="auto"/>
                <w:sz w:val="24"/>
                <w:szCs w:val="24"/>
              </w:rPr>
              <w:t xml:space="preserve"> </w:t>
            </w:r>
            <w:r w:rsidR="00C36AB1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О – итого обязательства по балансу</w:t>
            </w:r>
            <w:r w:rsidR="00C36AB1" w:rsidRPr="00AB448E">
              <w:rPr>
                <w:color w:val="auto"/>
                <w:sz w:val="24"/>
                <w:szCs w:val="24"/>
              </w:rPr>
              <w:t xml:space="preserve"> </w:t>
            </w:r>
            <w:r w:rsidR="00C36AB1" w:rsidRPr="00AB448E">
              <w:rPr>
                <w:sz w:val="24"/>
                <w:szCs w:val="24"/>
              </w:rPr>
              <w:t>по состоянию на отчетную дату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СВп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– возмещение по рискам, полученное по договорам перестрахования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КЛ ≥ μ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3F56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proofErr w:type="spellEnd"/>
            <w:r w:rsidRPr="00AB448E">
              <w:rPr>
                <w:sz w:val="24"/>
                <w:szCs w:val="24"/>
              </w:rPr>
              <w:t xml:space="preserve"> ≤ КЛ &lt; μ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3F56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proofErr w:type="spellEnd"/>
            <w:r w:rsidRPr="00AB448E">
              <w:rPr>
                <w:sz w:val="24"/>
                <w:szCs w:val="24"/>
              </w:rPr>
              <w:t xml:space="preserve"> -0,5σ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r w:rsidRPr="00AB448E">
              <w:rPr>
                <w:sz w:val="24"/>
                <w:szCs w:val="24"/>
              </w:rPr>
              <w:t xml:space="preserve"> ≤ КЛ &lt;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3F56EA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КЛ &lt; μ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клксж</w:t>
            </w:r>
          </w:p>
        </w:tc>
      </w:tr>
      <w:tr w:rsidR="00D82029" w:rsidRPr="00AB448E" w:rsidTr="000E3F73">
        <w:trPr>
          <w:trHeight w:val="2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029" w:rsidRPr="00AB448E" w:rsidRDefault="00D82029" w:rsidP="00D00F5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5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2029" w:rsidRPr="00AB448E" w:rsidRDefault="00D82029" w:rsidP="00D00F59">
            <w:pPr>
              <w:contextualSpacing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B448E">
              <w:rPr>
                <w:b/>
                <w:bCs/>
                <w:color w:val="auto"/>
                <w:sz w:val="24"/>
                <w:szCs w:val="24"/>
              </w:rPr>
              <w:t>Системность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21</w:t>
            </w:r>
          </w:p>
        </w:tc>
        <w:tc>
          <w:tcPr>
            <w:tcW w:w="4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BA3ABD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Доля страховых премий, полученных от 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аффилиированных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лиц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Кпаф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Кпаф</w:t>
            </w:r>
            <w:proofErr w:type="spellEnd"/>
            <w:proofErr w:type="gramStart"/>
            <w:r w:rsidRPr="00AB448E">
              <w:rPr>
                <w:b/>
                <w:bCs/>
                <w:color w:val="auto"/>
                <w:sz w:val="24"/>
                <w:szCs w:val="24"/>
              </w:rPr>
              <w:t>=П</w:t>
            </w:r>
            <w:proofErr w:type="gramEnd"/>
            <w:r w:rsidRPr="00AB448E">
              <w:rPr>
                <w:b/>
                <w:bCs/>
                <w:color w:val="auto"/>
                <w:sz w:val="24"/>
                <w:szCs w:val="24"/>
              </w:rPr>
              <w:t>аф/СП</w:t>
            </w:r>
            <w:r w:rsidRPr="00AB448E">
              <w:rPr>
                <w:color w:val="auto"/>
                <w:sz w:val="24"/>
                <w:szCs w:val="24"/>
              </w:rPr>
              <w:br/>
              <w:t xml:space="preserve">Паф – страховые премии, принятые по договорам страхования (перестрахования), заключенным с 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аффилиированными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лицами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  <w:t>СП – страховые премии, принятые по договорам страхования (перестрахования), с учетом расторжения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КПАФ ≤ μ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BA3AB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r w:rsidRPr="00AB448E">
              <w:rPr>
                <w:sz w:val="24"/>
                <w:szCs w:val="24"/>
              </w:rPr>
              <w:t xml:space="preserve"> &lt; КПАФ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proofErr w:type="spellEnd"/>
          </w:p>
        </w:tc>
      </w:tr>
      <w:tr w:rsidR="001E630E" w:rsidRPr="00AB448E" w:rsidTr="00C52048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BA3AB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proofErr w:type="spellEnd"/>
            <w:r w:rsidRPr="00AB448E">
              <w:rPr>
                <w:sz w:val="24"/>
                <w:szCs w:val="24"/>
              </w:rPr>
              <w:t xml:space="preserve"> &lt; КПАФ ≤ μ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</w:p>
        </w:tc>
      </w:tr>
      <w:tr w:rsidR="001E630E" w:rsidRPr="00AB448E" w:rsidTr="00D82029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BA3ABD">
            <w:pPr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КПАФ &gt; μ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кпафксж</w:t>
            </w:r>
          </w:p>
        </w:tc>
      </w:tr>
      <w:tr w:rsidR="001E630E" w:rsidRPr="00AB448E" w:rsidTr="00D71ADC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22</w:t>
            </w:r>
          </w:p>
        </w:tc>
        <w:tc>
          <w:tcPr>
            <w:tcW w:w="40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30E" w:rsidRPr="00AB448E" w:rsidRDefault="001E630E" w:rsidP="00D82029">
            <w:pPr>
              <w:contextualSpacing/>
              <w:rPr>
                <w:color w:val="auto"/>
                <w:sz w:val="24"/>
                <w:szCs w:val="24"/>
              </w:rPr>
            </w:pPr>
            <w:r w:rsidRPr="00AB448E">
              <w:rPr>
                <w:color w:val="auto"/>
                <w:sz w:val="24"/>
                <w:szCs w:val="24"/>
              </w:rPr>
              <w:t xml:space="preserve">Доля страховых выплат, осуществленных 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аффилиированным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лицам (</w:t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Кваф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>)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Кваф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=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Ваф</w:t>
            </w:r>
            <w:proofErr w:type="spellEnd"/>
            <w:r w:rsidRPr="00AB448E"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AB448E">
              <w:rPr>
                <w:b/>
                <w:bCs/>
                <w:color w:val="auto"/>
                <w:sz w:val="24"/>
                <w:szCs w:val="24"/>
              </w:rPr>
              <w:t>Росв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Ваф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– страховые выплаты, осуществленные по договорам страхования (перестрахования), заключенным с аффилированными </w:t>
            </w:r>
            <w:proofErr w:type="gramStart"/>
            <w:r w:rsidRPr="00AB448E">
              <w:rPr>
                <w:color w:val="auto"/>
                <w:sz w:val="24"/>
                <w:szCs w:val="24"/>
              </w:rPr>
              <w:t>страховыми</w:t>
            </w:r>
            <w:proofErr w:type="gramEnd"/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;</w:t>
            </w:r>
            <w:r w:rsidRPr="00AB448E">
              <w:rPr>
                <w:color w:val="auto"/>
                <w:sz w:val="24"/>
                <w:szCs w:val="24"/>
              </w:rPr>
              <w:br/>
            </w:r>
            <w:proofErr w:type="spellStart"/>
            <w:r w:rsidRPr="00AB448E">
              <w:rPr>
                <w:color w:val="auto"/>
                <w:sz w:val="24"/>
                <w:szCs w:val="24"/>
              </w:rPr>
              <w:t>Росв</w:t>
            </w:r>
            <w:proofErr w:type="spellEnd"/>
            <w:r w:rsidRPr="00AB448E">
              <w:rPr>
                <w:color w:val="auto"/>
                <w:sz w:val="24"/>
                <w:szCs w:val="24"/>
              </w:rPr>
              <w:t xml:space="preserve"> – расходы по осуществлению </w:t>
            </w:r>
            <w:r w:rsidRPr="00AB448E">
              <w:rPr>
                <w:color w:val="auto"/>
                <w:sz w:val="24"/>
                <w:szCs w:val="24"/>
              </w:rPr>
              <w:lastRenderedPageBreak/>
              <w:t>страховых выплат</w:t>
            </w:r>
            <w:r w:rsidR="00B8754A" w:rsidRPr="00AB448E">
              <w:rPr>
                <w:color w:val="auto"/>
                <w:sz w:val="24"/>
                <w:szCs w:val="24"/>
              </w:rPr>
              <w:t xml:space="preserve"> за </w:t>
            </w:r>
            <w:r w:rsidR="00B8754A" w:rsidRPr="00AB448E">
              <w:rPr>
                <w:sz w:val="24"/>
                <w:szCs w:val="24"/>
              </w:rPr>
              <w:t>последние двенадцать месяцев, предшествующих отчетной даты</w:t>
            </w:r>
            <w:r w:rsidRPr="00AB448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30E" w:rsidRPr="00AB448E" w:rsidRDefault="001E630E" w:rsidP="00467E30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КВАФ ≤ μ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D71AD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BA3A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r w:rsidRPr="00AB448E">
              <w:rPr>
                <w:sz w:val="24"/>
                <w:szCs w:val="24"/>
              </w:rPr>
              <w:t>-0,5σ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r w:rsidRPr="00AB448E">
              <w:rPr>
                <w:sz w:val="24"/>
                <w:szCs w:val="24"/>
              </w:rPr>
              <w:t xml:space="preserve"> &lt; КВАФ ≤ </w:t>
            </w: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D71AD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BA3A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proofErr w:type="spellStart"/>
            <w:r w:rsidRPr="00AB448E">
              <w:rPr>
                <w:sz w:val="24"/>
                <w:szCs w:val="24"/>
              </w:rPr>
              <w:t>μ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proofErr w:type="spellEnd"/>
            <w:r w:rsidRPr="00AB448E">
              <w:rPr>
                <w:sz w:val="24"/>
                <w:szCs w:val="24"/>
              </w:rPr>
              <w:t xml:space="preserve"> &lt; КВАФ ≤ μ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  <w:tr w:rsidR="001E630E" w:rsidRPr="00AB448E" w:rsidTr="00AB0382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30E" w:rsidRPr="00AB448E" w:rsidRDefault="001E630E" w:rsidP="00BA3AB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30E" w:rsidRPr="00AB448E" w:rsidRDefault="001E630E" w:rsidP="00C52048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30E" w:rsidRPr="00AB448E" w:rsidRDefault="001E630E" w:rsidP="00D71A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КВАФ &gt; μ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  <w:r w:rsidRPr="00AB448E">
              <w:rPr>
                <w:sz w:val="24"/>
                <w:szCs w:val="24"/>
              </w:rPr>
              <w:t>+0,5σ</w:t>
            </w:r>
            <w:r w:rsidR="00467E30" w:rsidRPr="00AB448E">
              <w:rPr>
                <w:sz w:val="24"/>
                <w:szCs w:val="24"/>
                <w:vertAlign w:val="subscript"/>
              </w:rPr>
              <w:t>квафкос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630E" w:rsidRPr="00AB448E" w:rsidRDefault="001E630E" w:rsidP="00D00F59">
            <w:pPr>
              <w:contextualSpacing/>
              <w:rPr>
                <w:sz w:val="24"/>
                <w:szCs w:val="24"/>
              </w:rPr>
            </w:pPr>
          </w:p>
        </w:tc>
      </w:tr>
    </w:tbl>
    <w:p w:rsidR="0022677A" w:rsidRPr="00AB448E" w:rsidRDefault="0022677A" w:rsidP="0022677A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323F2" w:rsidRPr="00AB448E" w:rsidRDefault="007323F2" w:rsidP="007323F2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A61" w:rsidRPr="00AB448E" w:rsidRDefault="00E74A61" w:rsidP="00E74A61">
      <w:pPr>
        <w:ind w:firstLine="709"/>
        <w:jc w:val="center"/>
        <w:rPr>
          <w:rStyle w:val="s0"/>
          <w:b/>
          <w:color w:val="FF0000"/>
          <w:sz w:val="28"/>
          <w:szCs w:val="28"/>
        </w:rPr>
      </w:pPr>
      <w:r w:rsidRPr="00AB448E">
        <w:rPr>
          <w:rStyle w:val="s0"/>
          <w:b/>
          <w:sz w:val="28"/>
          <w:szCs w:val="28"/>
          <w:lang w:val="kk-KZ"/>
        </w:rPr>
        <w:t>Таблица 2</w:t>
      </w:r>
      <w:r w:rsidRPr="00AB448E">
        <w:rPr>
          <w:rStyle w:val="s0"/>
          <w:b/>
          <w:sz w:val="28"/>
          <w:szCs w:val="28"/>
        </w:rPr>
        <w:t xml:space="preserve">. Интервалы оценки категорий риска </w:t>
      </w:r>
    </w:p>
    <w:p w:rsidR="00E74A61" w:rsidRPr="00AB448E" w:rsidRDefault="00E74A61" w:rsidP="00E74A61">
      <w:pPr>
        <w:ind w:firstLine="709"/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8"/>
        <w:gridCol w:w="2770"/>
        <w:gridCol w:w="951"/>
        <w:gridCol w:w="2835"/>
        <w:gridCol w:w="2977"/>
      </w:tblGrid>
      <w:tr w:rsidR="008B3B33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B448E">
              <w:rPr>
                <w:rStyle w:val="s0"/>
                <w:b/>
                <w:sz w:val="24"/>
                <w:szCs w:val="24"/>
                <w:lang w:val="kk-KZ"/>
              </w:rPr>
              <w:t>Категории</w:t>
            </w:r>
            <w:r w:rsidRPr="00AB448E">
              <w:rPr>
                <w:rStyle w:val="s0"/>
                <w:b/>
                <w:sz w:val="24"/>
                <w:szCs w:val="24"/>
              </w:rPr>
              <w:t xml:space="preserve"> </w:t>
            </w:r>
            <w:r w:rsidRPr="00AB448E">
              <w:rPr>
                <w:rStyle w:val="s0"/>
                <w:b/>
                <w:sz w:val="24"/>
                <w:szCs w:val="24"/>
                <w:lang w:val="en-US"/>
              </w:rPr>
              <w:t>EWS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Интервалы оценки</w:t>
            </w:r>
          </w:p>
        </w:tc>
      </w:tr>
      <w:tr w:rsidR="008B3B33" w:rsidRPr="00AB448E" w:rsidTr="00705ABC">
        <w:trPr>
          <w:trHeight w:val="20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</w:rPr>
              <w:t>КОС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B448E">
              <w:rPr>
                <w:b/>
                <w:sz w:val="24"/>
                <w:szCs w:val="24"/>
              </w:rPr>
              <w:t>КСЖ</w:t>
            </w:r>
          </w:p>
        </w:tc>
      </w:tr>
      <w:tr w:rsidR="008B3B33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33" w:rsidRPr="00AB448E" w:rsidRDefault="008B3B33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33" w:rsidRPr="00AB448E" w:rsidRDefault="008B3B33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bCs/>
                <w:sz w:val="24"/>
                <w:szCs w:val="24"/>
              </w:rPr>
              <w:t>Капитал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B33" w:rsidRPr="00AB448E" w:rsidRDefault="008B3B33" w:rsidP="008B3B33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B33" w:rsidRPr="00AB448E" w:rsidRDefault="008B3B33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1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3B33" w:rsidRPr="00AB448E" w:rsidRDefault="008B3B33" w:rsidP="007148BB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1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</w:p>
        </w:tc>
      </w:tr>
      <w:tr w:rsidR="008B3B33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33" w:rsidRPr="00AB448E" w:rsidRDefault="008B3B33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B33" w:rsidRPr="00AB448E" w:rsidRDefault="008B3B33" w:rsidP="007E05F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B33" w:rsidRPr="00AB448E" w:rsidRDefault="008B3B33" w:rsidP="008B3B33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33" w:rsidRPr="00AB448E" w:rsidRDefault="008B3B33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1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3B33" w:rsidRPr="00AB448E" w:rsidRDefault="008B3B33" w:rsidP="007148BB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1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</w:p>
        </w:tc>
      </w:tr>
      <w:tr w:rsidR="008B3B33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33" w:rsidRPr="00AB448E" w:rsidRDefault="008B3B33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3B33" w:rsidRPr="00AB448E" w:rsidRDefault="008B3B33" w:rsidP="007E05F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B33" w:rsidRPr="00AB448E" w:rsidRDefault="008B3B33" w:rsidP="008B3B33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33" w:rsidRPr="00AB448E" w:rsidRDefault="008B3B33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1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3B33" w:rsidRPr="00AB448E" w:rsidRDefault="008B3B33" w:rsidP="007148BB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1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</w:p>
        </w:tc>
      </w:tr>
      <w:tr w:rsidR="008B3B33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B33" w:rsidRPr="00AB448E" w:rsidRDefault="008B3B33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33" w:rsidRPr="00AB448E" w:rsidRDefault="008B3B33" w:rsidP="007E05F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3B33" w:rsidRPr="00AB448E" w:rsidRDefault="008B3B33" w:rsidP="008B3B33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33" w:rsidRPr="00AB448E" w:rsidRDefault="008B3B33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1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1кос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3B33" w:rsidRPr="00AB448E" w:rsidRDefault="008B3B33" w:rsidP="007148BB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1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1ксж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Активы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2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2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2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2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2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2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2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  <w:r w:rsidR="007764EE" w:rsidRPr="00AB448E">
              <w:rPr>
                <w:sz w:val="24"/>
                <w:szCs w:val="24"/>
              </w:rPr>
              <w:t xml:space="preserve"> +</w:t>
            </w:r>
            <w:r w:rsidRPr="00AB448E">
              <w:rPr>
                <w:sz w:val="24"/>
                <w:szCs w:val="24"/>
              </w:rPr>
              <w:t>σ</w:t>
            </w:r>
            <w:r w:rsidRPr="00AB448E">
              <w:rPr>
                <w:sz w:val="24"/>
                <w:szCs w:val="24"/>
                <w:vertAlign w:val="subscript"/>
              </w:rPr>
              <w:t>2кос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2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2ксж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Резервы и перестрахование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3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  <w:r w:rsidR="007764EE" w:rsidRPr="00AB448E">
              <w:rPr>
                <w:sz w:val="24"/>
                <w:szCs w:val="24"/>
              </w:rPr>
              <w:t xml:space="preserve"> -</w:t>
            </w:r>
            <w:r w:rsidRPr="00AB448E">
              <w:rPr>
                <w:sz w:val="24"/>
                <w:szCs w:val="24"/>
              </w:rPr>
              <w:t>σ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3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  <w:r w:rsidR="007764EE" w:rsidRPr="00AB448E">
              <w:rPr>
                <w:sz w:val="24"/>
                <w:szCs w:val="24"/>
              </w:rPr>
              <w:t xml:space="preserve"> -</w:t>
            </w:r>
            <w:r w:rsidRPr="00AB448E">
              <w:rPr>
                <w:sz w:val="24"/>
                <w:szCs w:val="24"/>
              </w:rPr>
              <w:t>σ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3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3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3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  <w:r w:rsidR="007764EE" w:rsidRPr="00AB448E">
              <w:rPr>
                <w:sz w:val="24"/>
                <w:szCs w:val="24"/>
              </w:rPr>
              <w:t xml:space="preserve"> +</w:t>
            </w:r>
            <w:r w:rsidRPr="00AB448E">
              <w:rPr>
                <w:sz w:val="24"/>
                <w:szCs w:val="24"/>
              </w:rPr>
              <w:t>σ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3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7764EE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3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3кос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3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3ксж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Менеджмент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4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4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4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4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4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4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4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4кос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4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4ксж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5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Доходность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5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5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5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5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5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5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5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5кос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5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5ксж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6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Ликвидность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6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6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6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6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6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6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6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6кос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6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6ксж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7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Системность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7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 xml:space="preserve"> 7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7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  <w:r w:rsidRPr="00AB448E">
              <w:rPr>
                <w:sz w:val="24"/>
                <w:szCs w:val="24"/>
              </w:rPr>
              <w:t xml:space="preserve"> -σ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7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7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μ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  <w:r w:rsidRPr="00AB448E">
              <w:rPr>
                <w:sz w:val="24"/>
                <w:szCs w:val="24"/>
              </w:rPr>
              <w:t xml:space="preserve"> &lt; </w:t>
            </w: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7</w:t>
            </w:r>
            <w:r w:rsidRPr="00AB448E">
              <w:rPr>
                <w:sz w:val="24"/>
                <w:szCs w:val="24"/>
              </w:rPr>
              <w:t xml:space="preserve"> ≤ μ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</w:p>
        </w:tc>
      </w:tr>
      <w:tr w:rsidR="007148BB" w:rsidRPr="00AB448E" w:rsidTr="00705ABC">
        <w:trPr>
          <w:trHeight w:val="2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BB" w:rsidRPr="00AB448E" w:rsidRDefault="007148BB" w:rsidP="007E05F4">
            <w:p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8BB" w:rsidRPr="00AB448E" w:rsidRDefault="007148BB" w:rsidP="007E05F4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7</w:t>
            </w:r>
            <w:r w:rsidRPr="00AB448E">
              <w:rPr>
                <w:sz w:val="24"/>
                <w:szCs w:val="24"/>
              </w:rPr>
              <w:t>&gt; μ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7кос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8BB" w:rsidRPr="00AB448E" w:rsidRDefault="007148BB" w:rsidP="00625FDC">
            <w:pPr>
              <w:contextualSpacing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  <w:lang w:val="en-US"/>
              </w:rPr>
              <w:t>k</w:t>
            </w:r>
            <w:r w:rsidRPr="00AB448E">
              <w:rPr>
                <w:sz w:val="24"/>
                <w:szCs w:val="24"/>
                <w:vertAlign w:val="subscript"/>
              </w:rPr>
              <w:t>7</w:t>
            </w:r>
            <w:r w:rsidRPr="00AB448E">
              <w:rPr>
                <w:sz w:val="24"/>
                <w:szCs w:val="24"/>
              </w:rPr>
              <w:t xml:space="preserve"> &gt; μ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  <w:r w:rsidRPr="00AB448E">
              <w:rPr>
                <w:sz w:val="24"/>
                <w:szCs w:val="24"/>
              </w:rPr>
              <w:t xml:space="preserve"> +σ</w:t>
            </w:r>
            <w:r w:rsidRPr="00AB448E">
              <w:rPr>
                <w:sz w:val="24"/>
                <w:szCs w:val="24"/>
                <w:vertAlign w:val="subscript"/>
              </w:rPr>
              <w:t>7ксж</w:t>
            </w:r>
          </w:p>
        </w:tc>
      </w:tr>
    </w:tbl>
    <w:p w:rsidR="00E74A61" w:rsidRDefault="00E74A61" w:rsidP="00E74A61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E346D" w:rsidRPr="00AB448E" w:rsidRDefault="00BE346D" w:rsidP="00E74A61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" w:name="_GoBack"/>
      <w:bookmarkEnd w:id="11"/>
    </w:p>
    <w:p w:rsidR="00E74A61" w:rsidRPr="00AB448E" w:rsidRDefault="00E74A61" w:rsidP="00E74A61">
      <w:pPr>
        <w:contextualSpacing/>
        <w:jc w:val="center"/>
        <w:rPr>
          <w:b/>
          <w:sz w:val="28"/>
          <w:szCs w:val="28"/>
        </w:rPr>
      </w:pPr>
      <w:r w:rsidRPr="00AB448E">
        <w:rPr>
          <w:rStyle w:val="s0"/>
          <w:b/>
          <w:sz w:val="28"/>
          <w:szCs w:val="28"/>
          <w:lang w:val="kk-KZ"/>
        </w:rPr>
        <w:t xml:space="preserve">Таблица </w:t>
      </w:r>
      <w:r w:rsidRPr="00AB448E">
        <w:rPr>
          <w:rStyle w:val="s0"/>
          <w:b/>
          <w:sz w:val="28"/>
          <w:szCs w:val="28"/>
        </w:rPr>
        <w:t>3. К</w:t>
      </w:r>
      <w:r w:rsidRPr="00AB448E">
        <w:rPr>
          <w:b/>
          <w:sz w:val="28"/>
          <w:szCs w:val="28"/>
        </w:rPr>
        <w:t>атегория риска</w:t>
      </w:r>
    </w:p>
    <w:p w:rsidR="00E74A61" w:rsidRPr="00AB448E" w:rsidRDefault="00E74A61" w:rsidP="00E74A61">
      <w:pPr>
        <w:contextualSpacing/>
        <w:jc w:val="both"/>
        <w:rPr>
          <w:b/>
          <w:sz w:val="28"/>
          <w:szCs w:val="28"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993"/>
        <w:gridCol w:w="992"/>
        <w:gridCol w:w="1417"/>
        <w:gridCol w:w="1134"/>
        <w:gridCol w:w="1134"/>
        <w:gridCol w:w="1276"/>
        <w:gridCol w:w="1276"/>
      </w:tblGrid>
      <w:tr w:rsidR="00E74A61" w:rsidRPr="00AB448E" w:rsidTr="00E74A61">
        <w:trPr>
          <w:trHeight w:val="2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>Категория риска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Активы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Резервы и перестрахование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Доходность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Ликвидность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Системность</w:t>
            </w:r>
          </w:p>
        </w:tc>
      </w:tr>
      <w:tr w:rsidR="00E74A61" w:rsidRPr="00AB448E" w:rsidTr="00E74A61">
        <w:trPr>
          <w:trHeight w:val="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AB448E">
              <w:rPr>
                <w:b/>
                <w:bCs/>
                <w:sz w:val="24"/>
                <w:szCs w:val="24"/>
              </w:rPr>
              <w:t xml:space="preserve">Вес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sub>
              </m:sSub>
            </m:oMath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A61" w:rsidRPr="00AB448E" w:rsidRDefault="00E74A61" w:rsidP="007A6ACD">
            <w:pPr>
              <w:contextualSpacing/>
              <w:jc w:val="center"/>
              <w:rPr>
                <w:sz w:val="24"/>
                <w:szCs w:val="24"/>
              </w:rPr>
            </w:pPr>
            <w:r w:rsidRPr="00AB448E">
              <w:rPr>
                <w:sz w:val="24"/>
                <w:szCs w:val="24"/>
              </w:rPr>
              <w:t>10%</w:t>
            </w:r>
          </w:p>
        </w:tc>
      </w:tr>
    </w:tbl>
    <w:p w:rsidR="00E74A61" w:rsidRPr="00AB448E" w:rsidRDefault="00E74A61" w:rsidP="00E74A61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A61" w:rsidRPr="00AB448E" w:rsidRDefault="00E74A61" w:rsidP="00E74A61">
      <w:pPr>
        <w:pStyle w:val="a9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74A61" w:rsidRPr="00AB448E" w:rsidRDefault="00E74A61" w:rsidP="00E74A61">
      <w:pPr>
        <w:contextualSpacing/>
        <w:jc w:val="center"/>
        <w:rPr>
          <w:b/>
          <w:sz w:val="28"/>
          <w:szCs w:val="28"/>
        </w:rPr>
      </w:pPr>
      <w:r w:rsidRPr="00AB448E">
        <w:rPr>
          <w:rStyle w:val="s0"/>
          <w:b/>
          <w:sz w:val="28"/>
          <w:szCs w:val="28"/>
          <w:lang w:val="kk-KZ"/>
        </w:rPr>
        <w:lastRenderedPageBreak/>
        <w:t xml:space="preserve">Таблица </w:t>
      </w:r>
      <w:r w:rsidRPr="00AB448E">
        <w:rPr>
          <w:rStyle w:val="s0"/>
          <w:b/>
          <w:sz w:val="28"/>
          <w:szCs w:val="28"/>
        </w:rPr>
        <w:t xml:space="preserve">4. Интервалы оценки </w:t>
      </w:r>
      <w:r w:rsidRPr="00AB448E">
        <w:rPr>
          <w:b/>
          <w:sz w:val="28"/>
          <w:szCs w:val="28"/>
        </w:rPr>
        <w:t xml:space="preserve">УФУ для КОС и КСЖ </w:t>
      </w:r>
    </w:p>
    <w:p w:rsidR="00E74A61" w:rsidRPr="00AB448E" w:rsidRDefault="00E74A61" w:rsidP="00E74A61">
      <w:pPr>
        <w:contextualSpacing/>
        <w:jc w:val="center"/>
        <w:rPr>
          <w:b/>
          <w:sz w:val="28"/>
          <w:szCs w:val="28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9"/>
        <w:gridCol w:w="2352"/>
        <w:gridCol w:w="2315"/>
      </w:tblGrid>
      <w:tr w:rsidR="007E05F4" w:rsidRPr="00AB448E" w:rsidTr="007D0365">
        <w:trPr>
          <w:trHeight w:val="20"/>
          <w:jc w:val="center"/>
        </w:trPr>
        <w:tc>
          <w:tcPr>
            <w:tcW w:w="4419" w:type="dxa"/>
            <w:vMerge w:val="restart"/>
            <w:shd w:val="clear" w:color="auto" w:fill="auto"/>
            <w:noWrap/>
            <w:vAlign w:val="center"/>
            <w:hideMark/>
          </w:tcPr>
          <w:p w:rsidR="007E05F4" w:rsidRPr="00AB448E" w:rsidRDefault="007E05F4" w:rsidP="007E05F4">
            <w:pPr>
              <w:contextualSpacing/>
              <w:jc w:val="center"/>
              <w:rPr>
                <w:b/>
                <w:bCs/>
                <w:sz w:val="24"/>
                <w:szCs w:val="28"/>
                <w:lang w:val="en-US"/>
              </w:rPr>
            </w:pPr>
            <w:r w:rsidRPr="00AB448E">
              <w:rPr>
                <w:b/>
                <w:bCs/>
                <w:sz w:val="24"/>
                <w:szCs w:val="28"/>
              </w:rPr>
              <w:t>Уровень финансовой устойчивости</w:t>
            </w:r>
          </w:p>
        </w:tc>
        <w:tc>
          <w:tcPr>
            <w:tcW w:w="4667" w:type="dxa"/>
            <w:gridSpan w:val="2"/>
            <w:shd w:val="clear" w:color="auto" w:fill="auto"/>
            <w:noWrap/>
            <w:vAlign w:val="center"/>
            <w:hideMark/>
          </w:tcPr>
          <w:p w:rsidR="007E05F4" w:rsidRPr="00AB448E" w:rsidRDefault="007E05F4" w:rsidP="007E05F4">
            <w:pPr>
              <w:contextualSpacing/>
              <w:jc w:val="center"/>
              <w:rPr>
                <w:b/>
                <w:bCs/>
                <w:sz w:val="24"/>
                <w:szCs w:val="28"/>
              </w:rPr>
            </w:pPr>
            <w:r w:rsidRPr="00AB448E">
              <w:rPr>
                <w:b/>
                <w:bCs/>
                <w:sz w:val="24"/>
                <w:szCs w:val="28"/>
              </w:rPr>
              <w:t>Интервалы оценки</w:t>
            </w:r>
          </w:p>
        </w:tc>
      </w:tr>
      <w:tr w:rsidR="007E05F4" w:rsidRPr="00AB448E" w:rsidTr="007D0365">
        <w:trPr>
          <w:trHeight w:val="20"/>
          <w:jc w:val="center"/>
        </w:trPr>
        <w:tc>
          <w:tcPr>
            <w:tcW w:w="4419" w:type="dxa"/>
            <w:vMerge/>
            <w:shd w:val="clear" w:color="auto" w:fill="auto"/>
            <w:vAlign w:val="center"/>
            <w:hideMark/>
          </w:tcPr>
          <w:p w:rsidR="007E05F4" w:rsidRPr="00AB448E" w:rsidRDefault="007E05F4" w:rsidP="007E05F4">
            <w:pPr>
              <w:contextualSpacing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352" w:type="dxa"/>
            <w:shd w:val="clear" w:color="auto" w:fill="auto"/>
            <w:noWrap/>
            <w:vAlign w:val="center"/>
            <w:hideMark/>
          </w:tcPr>
          <w:p w:rsidR="007E05F4" w:rsidRPr="00AB448E" w:rsidRDefault="007E05F4" w:rsidP="007E05F4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AB448E">
              <w:rPr>
                <w:b/>
                <w:sz w:val="24"/>
                <w:szCs w:val="28"/>
              </w:rPr>
              <w:t>КОС</w:t>
            </w:r>
          </w:p>
        </w:tc>
        <w:tc>
          <w:tcPr>
            <w:tcW w:w="2315" w:type="dxa"/>
            <w:shd w:val="clear" w:color="auto" w:fill="auto"/>
            <w:noWrap/>
            <w:vAlign w:val="center"/>
            <w:hideMark/>
          </w:tcPr>
          <w:p w:rsidR="007E05F4" w:rsidRPr="00AB448E" w:rsidRDefault="007E05F4" w:rsidP="007E05F4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AB448E">
              <w:rPr>
                <w:b/>
                <w:sz w:val="24"/>
                <w:szCs w:val="28"/>
              </w:rPr>
              <w:t>КСЖ</w:t>
            </w:r>
          </w:p>
        </w:tc>
      </w:tr>
      <w:tr w:rsidR="007D0365" w:rsidRPr="00AB448E" w:rsidTr="007D0365">
        <w:trPr>
          <w:trHeight w:val="20"/>
          <w:jc w:val="center"/>
        </w:trPr>
        <w:tc>
          <w:tcPr>
            <w:tcW w:w="4419" w:type="dxa"/>
            <w:shd w:val="clear" w:color="auto" w:fill="auto"/>
            <w:hideMark/>
          </w:tcPr>
          <w:p w:rsidR="007D0365" w:rsidRPr="00AB448E" w:rsidRDefault="007D0365" w:rsidP="007E05F4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AB448E">
              <w:rPr>
                <w:sz w:val="24"/>
                <w:szCs w:val="28"/>
              </w:rPr>
              <w:t>Сильный</w:t>
            </w:r>
            <w:proofErr w:type="gramEnd"/>
            <w:r w:rsidRPr="00AB448E">
              <w:rPr>
                <w:sz w:val="24"/>
                <w:szCs w:val="28"/>
              </w:rPr>
              <w:t xml:space="preserve"> или в «зеленой зоне»</w:t>
            </w:r>
          </w:p>
        </w:tc>
        <w:tc>
          <w:tcPr>
            <w:tcW w:w="2352" w:type="dxa"/>
            <w:shd w:val="clear" w:color="auto" w:fill="auto"/>
            <w:hideMark/>
          </w:tcPr>
          <w:p w:rsidR="007D0365" w:rsidRPr="00AB448E" w:rsidRDefault="007D0365" w:rsidP="007D0365">
            <w:pPr>
              <w:contextualSpacing/>
              <w:rPr>
                <w:sz w:val="24"/>
                <w:szCs w:val="28"/>
              </w:rPr>
            </w:pP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  <w:vertAlign w:val="subscript"/>
              </w:rPr>
              <w:t xml:space="preserve"> </w:t>
            </w:r>
            <w:r w:rsidRPr="00AB448E">
              <w:rPr>
                <w:sz w:val="24"/>
                <w:szCs w:val="28"/>
              </w:rPr>
              <w:t xml:space="preserve">≤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-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</w:p>
        </w:tc>
        <w:tc>
          <w:tcPr>
            <w:tcW w:w="2315" w:type="dxa"/>
            <w:shd w:val="clear" w:color="auto" w:fill="auto"/>
            <w:hideMark/>
          </w:tcPr>
          <w:p w:rsidR="007D0365" w:rsidRPr="00AB448E" w:rsidRDefault="007D0365" w:rsidP="007764EE">
            <w:pPr>
              <w:contextualSpacing/>
              <w:rPr>
                <w:sz w:val="24"/>
                <w:szCs w:val="28"/>
              </w:rPr>
            </w:pP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  <w:vertAlign w:val="subscript"/>
              </w:rPr>
              <w:t xml:space="preserve"> </w:t>
            </w:r>
            <w:r w:rsidRPr="00AB448E">
              <w:rPr>
                <w:sz w:val="24"/>
                <w:szCs w:val="28"/>
              </w:rPr>
              <w:t xml:space="preserve">≤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-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</w:p>
        </w:tc>
      </w:tr>
      <w:tr w:rsidR="007D0365" w:rsidRPr="00AB448E" w:rsidTr="007D0365">
        <w:trPr>
          <w:trHeight w:val="20"/>
          <w:jc w:val="center"/>
        </w:trPr>
        <w:tc>
          <w:tcPr>
            <w:tcW w:w="4419" w:type="dxa"/>
            <w:shd w:val="clear" w:color="auto" w:fill="auto"/>
          </w:tcPr>
          <w:p w:rsidR="007D0365" w:rsidRPr="00AB448E" w:rsidRDefault="007D0365" w:rsidP="007E05F4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AB448E">
              <w:rPr>
                <w:sz w:val="24"/>
                <w:szCs w:val="28"/>
              </w:rPr>
              <w:t>Средний</w:t>
            </w:r>
            <w:proofErr w:type="gramEnd"/>
            <w:r w:rsidRPr="00AB448E">
              <w:rPr>
                <w:sz w:val="24"/>
                <w:szCs w:val="28"/>
              </w:rPr>
              <w:t xml:space="preserve"> или в «желтой зоне»</w:t>
            </w:r>
          </w:p>
        </w:tc>
        <w:tc>
          <w:tcPr>
            <w:tcW w:w="2352" w:type="dxa"/>
            <w:shd w:val="clear" w:color="auto" w:fill="auto"/>
          </w:tcPr>
          <w:p w:rsidR="007D0365" w:rsidRPr="00AB448E" w:rsidRDefault="007D0365" w:rsidP="007764EE">
            <w:pPr>
              <w:contextualSpacing/>
              <w:rPr>
                <w:sz w:val="24"/>
                <w:szCs w:val="28"/>
              </w:rPr>
            </w:pP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-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  <w:r w:rsidRPr="00AB448E">
              <w:rPr>
                <w:sz w:val="24"/>
                <w:szCs w:val="28"/>
              </w:rPr>
              <w:t xml:space="preserve"> &lt; </w:t>
            </w: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</w:rPr>
              <w:t xml:space="preserve"> ≤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7D0365" w:rsidRPr="00AB448E" w:rsidRDefault="007D0365" w:rsidP="00625FDC">
            <w:pPr>
              <w:contextualSpacing/>
              <w:rPr>
                <w:sz w:val="24"/>
                <w:szCs w:val="28"/>
              </w:rPr>
            </w:pP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-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  <w:r w:rsidRPr="00AB448E">
              <w:rPr>
                <w:sz w:val="24"/>
                <w:szCs w:val="28"/>
              </w:rPr>
              <w:t xml:space="preserve"> &lt; </w:t>
            </w: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</w:rPr>
              <w:t xml:space="preserve"> ≤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</w:p>
        </w:tc>
      </w:tr>
      <w:tr w:rsidR="007D0365" w:rsidRPr="00AB448E" w:rsidTr="007D0365">
        <w:trPr>
          <w:trHeight w:val="20"/>
          <w:jc w:val="center"/>
        </w:trPr>
        <w:tc>
          <w:tcPr>
            <w:tcW w:w="4419" w:type="dxa"/>
            <w:shd w:val="clear" w:color="auto" w:fill="auto"/>
          </w:tcPr>
          <w:p w:rsidR="007D0365" w:rsidRPr="00AB448E" w:rsidRDefault="007D0365" w:rsidP="007E05F4">
            <w:pPr>
              <w:contextualSpacing/>
              <w:jc w:val="both"/>
              <w:rPr>
                <w:sz w:val="24"/>
                <w:szCs w:val="28"/>
              </w:rPr>
            </w:pPr>
            <w:proofErr w:type="gramStart"/>
            <w:r w:rsidRPr="00AB448E">
              <w:rPr>
                <w:sz w:val="24"/>
                <w:szCs w:val="28"/>
              </w:rPr>
              <w:t>Слабый</w:t>
            </w:r>
            <w:proofErr w:type="gramEnd"/>
            <w:r w:rsidRPr="00AB448E">
              <w:rPr>
                <w:sz w:val="24"/>
                <w:szCs w:val="28"/>
              </w:rPr>
              <w:t xml:space="preserve"> или в «оранжевой зоне»</w:t>
            </w:r>
          </w:p>
        </w:tc>
        <w:tc>
          <w:tcPr>
            <w:tcW w:w="2352" w:type="dxa"/>
            <w:shd w:val="clear" w:color="auto" w:fill="auto"/>
          </w:tcPr>
          <w:p w:rsidR="007D0365" w:rsidRPr="00AB448E" w:rsidRDefault="007D0365" w:rsidP="007D0365">
            <w:pPr>
              <w:contextualSpacing/>
              <w:rPr>
                <w:sz w:val="24"/>
                <w:szCs w:val="28"/>
              </w:rPr>
            </w:pP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  <w:r w:rsidRPr="00AB448E">
              <w:rPr>
                <w:sz w:val="24"/>
                <w:szCs w:val="28"/>
              </w:rPr>
              <w:t xml:space="preserve"> &lt; </w:t>
            </w: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</w:rPr>
              <w:t xml:space="preserve"> ≤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+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7D0365" w:rsidRPr="00AB448E" w:rsidRDefault="007D0365" w:rsidP="007764EE">
            <w:pPr>
              <w:contextualSpacing/>
              <w:rPr>
                <w:sz w:val="24"/>
                <w:szCs w:val="28"/>
              </w:rPr>
            </w:pP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  <w:r w:rsidRPr="00AB448E">
              <w:rPr>
                <w:sz w:val="24"/>
                <w:szCs w:val="28"/>
              </w:rPr>
              <w:t xml:space="preserve"> &lt; </w:t>
            </w: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</w:rPr>
              <w:t xml:space="preserve"> ≤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+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</w:p>
        </w:tc>
      </w:tr>
      <w:tr w:rsidR="007D0365" w:rsidRPr="007D0365" w:rsidTr="007D0365">
        <w:trPr>
          <w:trHeight w:val="20"/>
          <w:jc w:val="center"/>
        </w:trPr>
        <w:tc>
          <w:tcPr>
            <w:tcW w:w="4419" w:type="dxa"/>
            <w:shd w:val="clear" w:color="auto" w:fill="auto"/>
          </w:tcPr>
          <w:p w:rsidR="007D0365" w:rsidRPr="00AB448E" w:rsidRDefault="007D0365" w:rsidP="007E05F4">
            <w:pPr>
              <w:contextualSpacing/>
              <w:jc w:val="both"/>
              <w:rPr>
                <w:sz w:val="24"/>
                <w:szCs w:val="28"/>
              </w:rPr>
            </w:pPr>
            <w:r w:rsidRPr="00AB448E">
              <w:rPr>
                <w:sz w:val="24"/>
                <w:szCs w:val="28"/>
              </w:rPr>
              <w:t xml:space="preserve">Очень </w:t>
            </w:r>
            <w:proofErr w:type="gramStart"/>
            <w:r w:rsidRPr="00AB448E">
              <w:rPr>
                <w:sz w:val="24"/>
                <w:szCs w:val="28"/>
              </w:rPr>
              <w:t>слабый</w:t>
            </w:r>
            <w:proofErr w:type="gramEnd"/>
            <w:r w:rsidRPr="00AB448E">
              <w:rPr>
                <w:sz w:val="24"/>
                <w:szCs w:val="28"/>
              </w:rPr>
              <w:t xml:space="preserve"> или в «красной зоне»</w:t>
            </w:r>
          </w:p>
        </w:tc>
        <w:tc>
          <w:tcPr>
            <w:tcW w:w="2352" w:type="dxa"/>
            <w:shd w:val="clear" w:color="auto" w:fill="auto"/>
          </w:tcPr>
          <w:p w:rsidR="007D0365" w:rsidRPr="00AB448E" w:rsidRDefault="007D0365" w:rsidP="007764EE">
            <w:pPr>
              <w:contextualSpacing/>
              <w:rPr>
                <w:sz w:val="24"/>
                <w:szCs w:val="28"/>
              </w:rPr>
            </w:pP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</w:rPr>
              <w:t xml:space="preserve"> &gt;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+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уфукос</w:t>
            </w:r>
            <w:proofErr w:type="spellEnd"/>
          </w:p>
        </w:tc>
        <w:tc>
          <w:tcPr>
            <w:tcW w:w="2315" w:type="dxa"/>
            <w:shd w:val="clear" w:color="auto" w:fill="auto"/>
          </w:tcPr>
          <w:p w:rsidR="007D0365" w:rsidRPr="007D0365" w:rsidRDefault="007D0365" w:rsidP="00625FDC">
            <w:pPr>
              <w:contextualSpacing/>
              <w:rPr>
                <w:sz w:val="24"/>
                <w:szCs w:val="28"/>
              </w:rPr>
            </w:pPr>
            <w:r w:rsidRPr="00AB448E">
              <w:rPr>
                <w:sz w:val="24"/>
                <w:szCs w:val="28"/>
                <w:lang w:val="kk-KZ"/>
              </w:rPr>
              <w:t>УФУ</w:t>
            </w:r>
            <w:r w:rsidRPr="00AB448E">
              <w:rPr>
                <w:sz w:val="24"/>
                <w:szCs w:val="28"/>
              </w:rPr>
              <w:t xml:space="preserve"> &gt; </w:t>
            </w:r>
            <w:proofErr w:type="spellStart"/>
            <w:r w:rsidRPr="00AB448E">
              <w:rPr>
                <w:sz w:val="24"/>
                <w:szCs w:val="28"/>
              </w:rPr>
              <w:t>μ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  <w:r w:rsidR="007764EE" w:rsidRPr="00AB448E">
              <w:rPr>
                <w:sz w:val="24"/>
                <w:szCs w:val="28"/>
              </w:rPr>
              <w:t xml:space="preserve"> +</w:t>
            </w:r>
            <w:proofErr w:type="spellStart"/>
            <w:r w:rsidRPr="00AB448E">
              <w:rPr>
                <w:sz w:val="24"/>
                <w:szCs w:val="28"/>
              </w:rPr>
              <w:t>σ</w:t>
            </w:r>
            <w:r w:rsidRPr="00AB448E">
              <w:rPr>
                <w:sz w:val="24"/>
                <w:szCs w:val="28"/>
                <w:vertAlign w:val="subscript"/>
              </w:rPr>
              <w:t>уфуксж</w:t>
            </w:r>
            <w:proofErr w:type="spellEnd"/>
          </w:p>
        </w:tc>
      </w:tr>
    </w:tbl>
    <w:p w:rsidR="0022677A" w:rsidRPr="00A36234" w:rsidRDefault="0022677A" w:rsidP="00E74A61">
      <w:pPr>
        <w:contextualSpacing/>
        <w:jc w:val="center"/>
        <w:rPr>
          <w:sz w:val="28"/>
          <w:szCs w:val="28"/>
        </w:rPr>
      </w:pPr>
    </w:p>
    <w:sectPr w:rsidR="0022677A" w:rsidRPr="00A36234" w:rsidSect="007238D6">
      <w:headerReference w:type="defaul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3F" w:rsidRDefault="00FB163F" w:rsidP="0032059A">
      <w:r>
        <w:separator/>
      </w:r>
    </w:p>
  </w:endnote>
  <w:endnote w:type="continuationSeparator" w:id="0">
    <w:p w:rsidR="00FB163F" w:rsidRDefault="00FB163F" w:rsidP="003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3F" w:rsidRDefault="00FB163F" w:rsidP="0032059A">
      <w:r>
        <w:separator/>
      </w:r>
    </w:p>
  </w:footnote>
  <w:footnote w:type="continuationSeparator" w:id="0">
    <w:p w:rsidR="00FB163F" w:rsidRDefault="00FB163F" w:rsidP="0032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F4" w:rsidRDefault="007E05F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E346D">
      <w:rPr>
        <w:noProof/>
      </w:rPr>
      <w:t>17</w:t>
    </w:r>
    <w:r>
      <w:fldChar w:fldCharType="end"/>
    </w:r>
  </w:p>
  <w:p w:rsidR="007E05F4" w:rsidRDefault="007E05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8"/>
    <w:multiLevelType w:val="hybridMultilevel"/>
    <w:tmpl w:val="8D0A4E8C"/>
    <w:lvl w:ilvl="0" w:tplc="818C58A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43790"/>
    <w:multiLevelType w:val="hybridMultilevel"/>
    <w:tmpl w:val="ACD268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DEB77D7"/>
    <w:multiLevelType w:val="hybridMultilevel"/>
    <w:tmpl w:val="5582AC5E"/>
    <w:lvl w:ilvl="0" w:tplc="4278516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A06A5A"/>
    <w:multiLevelType w:val="hybridMultilevel"/>
    <w:tmpl w:val="01162842"/>
    <w:lvl w:ilvl="0" w:tplc="E2241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E68C8"/>
    <w:multiLevelType w:val="hybridMultilevel"/>
    <w:tmpl w:val="539E3D60"/>
    <w:lvl w:ilvl="0" w:tplc="7624E7B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24FA48E1"/>
    <w:multiLevelType w:val="hybridMultilevel"/>
    <w:tmpl w:val="646ACD2E"/>
    <w:lvl w:ilvl="0" w:tplc="7FB4A1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9F6ECB"/>
    <w:multiLevelType w:val="hybridMultilevel"/>
    <w:tmpl w:val="956A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4C30"/>
    <w:multiLevelType w:val="hybridMultilevel"/>
    <w:tmpl w:val="217E653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657B"/>
    <w:multiLevelType w:val="hybridMultilevel"/>
    <w:tmpl w:val="C2B6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A4E204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358"/>
    <w:multiLevelType w:val="hybridMultilevel"/>
    <w:tmpl w:val="A258A5A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5B85"/>
    <w:multiLevelType w:val="hybridMultilevel"/>
    <w:tmpl w:val="597C518A"/>
    <w:lvl w:ilvl="0" w:tplc="75608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CE7409"/>
    <w:multiLevelType w:val="hybridMultilevel"/>
    <w:tmpl w:val="8CEA8182"/>
    <w:lvl w:ilvl="0" w:tplc="82649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1C923F0"/>
    <w:multiLevelType w:val="hybridMultilevel"/>
    <w:tmpl w:val="7A7415CC"/>
    <w:lvl w:ilvl="0" w:tplc="AA307482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755F30"/>
    <w:multiLevelType w:val="hybridMultilevel"/>
    <w:tmpl w:val="8CEA8182"/>
    <w:lvl w:ilvl="0" w:tplc="826497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7C034A57"/>
    <w:multiLevelType w:val="hybridMultilevel"/>
    <w:tmpl w:val="60E475D4"/>
    <w:lvl w:ilvl="0" w:tplc="407AD79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11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F"/>
    <w:rsid w:val="000004D0"/>
    <w:rsid w:val="000133D3"/>
    <w:rsid w:val="0001466E"/>
    <w:rsid w:val="00015423"/>
    <w:rsid w:val="00015EBB"/>
    <w:rsid w:val="0002008F"/>
    <w:rsid w:val="00025407"/>
    <w:rsid w:val="00025500"/>
    <w:rsid w:val="0003106B"/>
    <w:rsid w:val="00031934"/>
    <w:rsid w:val="00033E71"/>
    <w:rsid w:val="000356B5"/>
    <w:rsid w:val="000433F7"/>
    <w:rsid w:val="00045926"/>
    <w:rsid w:val="000462BB"/>
    <w:rsid w:val="00046F63"/>
    <w:rsid w:val="00046F85"/>
    <w:rsid w:val="00047488"/>
    <w:rsid w:val="00051285"/>
    <w:rsid w:val="000622C4"/>
    <w:rsid w:val="0006256C"/>
    <w:rsid w:val="00064F7D"/>
    <w:rsid w:val="00066CBB"/>
    <w:rsid w:val="00066FF1"/>
    <w:rsid w:val="00075433"/>
    <w:rsid w:val="00081B96"/>
    <w:rsid w:val="00091455"/>
    <w:rsid w:val="000945A4"/>
    <w:rsid w:val="000A1D4D"/>
    <w:rsid w:val="000A317D"/>
    <w:rsid w:val="000B1F13"/>
    <w:rsid w:val="000B2352"/>
    <w:rsid w:val="000B39D4"/>
    <w:rsid w:val="000C1C7E"/>
    <w:rsid w:val="000D0AEC"/>
    <w:rsid w:val="000D1D1C"/>
    <w:rsid w:val="000D32CC"/>
    <w:rsid w:val="000D686E"/>
    <w:rsid w:val="000D6E39"/>
    <w:rsid w:val="000E1B69"/>
    <w:rsid w:val="000E3F73"/>
    <w:rsid w:val="000E4704"/>
    <w:rsid w:val="000E72F2"/>
    <w:rsid w:val="000F0595"/>
    <w:rsid w:val="000F1C2E"/>
    <w:rsid w:val="000F6B98"/>
    <w:rsid w:val="001017D0"/>
    <w:rsid w:val="0010316B"/>
    <w:rsid w:val="00103741"/>
    <w:rsid w:val="00104B88"/>
    <w:rsid w:val="00111F1F"/>
    <w:rsid w:val="00126BE7"/>
    <w:rsid w:val="00132921"/>
    <w:rsid w:val="00134BEA"/>
    <w:rsid w:val="00136490"/>
    <w:rsid w:val="00137C43"/>
    <w:rsid w:val="001466B1"/>
    <w:rsid w:val="00166BB3"/>
    <w:rsid w:val="00175677"/>
    <w:rsid w:val="00175EED"/>
    <w:rsid w:val="00176AD9"/>
    <w:rsid w:val="0018162B"/>
    <w:rsid w:val="001843EF"/>
    <w:rsid w:val="001906AB"/>
    <w:rsid w:val="00190CA2"/>
    <w:rsid w:val="00191F02"/>
    <w:rsid w:val="0019758A"/>
    <w:rsid w:val="001A0549"/>
    <w:rsid w:val="001A1AE2"/>
    <w:rsid w:val="001A5F2F"/>
    <w:rsid w:val="001A79D3"/>
    <w:rsid w:val="001B01A2"/>
    <w:rsid w:val="001C18AD"/>
    <w:rsid w:val="001C4218"/>
    <w:rsid w:val="001D09AF"/>
    <w:rsid w:val="001D1925"/>
    <w:rsid w:val="001E0226"/>
    <w:rsid w:val="001E048E"/>
    <w:rsid w:val="001E27C1"/>
    <w:rsid w:val="001E630E"/>
    <w:rsid w:val="001E63A8"/>
    <w:rsid w:val="001F4A3D"/>
    <w:rsid w:val="001F5FEA"/>
    <w:rsid w:val="00217DEA"/>
    <w:rsid w:val="0022272B"/>
    <w:rsid w:val="0022677A"/>
    <w:rsid w:val="0024523D"/>
    <w:rsid w:val="00251B98"/>
    <w:rsid w:val="00252D34"/>
    <w:rsid w:val="0026418A"/>
    <w:rsid w:val="00267F4C"/>
    <w:rsid w:val="002724CA"/>
    <w:rsid w:val="002831A2"/>
    <w:rsid w:val="00290B2C"/>
    <w:rsid w:val="002A03BB"/>
    <w:rsid w:val="002A0CF6"/>
    <w:rsid w:val="002A6A5E"/>
    <w:rsid w:val="002A72D7"/>
    <w:rsid w:val="002B07C1"/>
    <w:rsid w:val="002B12E7"/>
    <w:rsid w:val="002B2307"/>
    <w:rsid w:val="002C0EC1"/>
    <w:rsid w:val="002D1246"/>
    <w:rsid w:val="002D1EB0"/>
    <w:rsid w:val="002D264F"/>
    <w:rsid w:val="002D39C5"/>
    <w:rsid w:val="002D56D4"/>
    <w:rsid w:val="002E30DF"/>
    <w:rsid w:val="002E35C9"/>
    <w:rsid w:val="002E7E67"/>
    <w:rsid w:val="002F1627"/>
    <w:rsid w:val="002F2B58"/>
    <w:rsid w:val="002F46ED"/>
    <w:rsid w:val="002F56A6"/>
    <w:rsid w:val="002F6CB2"/>
    <w:rsid w:val="00303710"/>
    <w:rsid w:val="00313523"/>
    <w:rsid w:val="00315425"/>
    <w:rsid w:val="00316FE2"/>
    <w:rsid w:val="0032059A"/>
    <w:rsid w:val="003233C9"/>
    <w:rsid w:val="00331D92"/>
    <w:rsid w:val="00333816"/>
    <w:rsid w:val="00334B5F"/>
    <w:rsid w:val="0033570E"/>
    <w:rsid w:val="003359B4"/>
    <w:rsid w:val="00336024"/>
    <w:rsid w:val="00337A95"/>
    <w:rsid w:val="00345998"/>
    <w:rsid w:val="00350CFA"/>
    <w:rsid w:val="003575AD"/>
    <w:rsid w:val="00367970"/>
    <w:rsid w:val="00374467"/>
    <w:rsid w:val="00382B2A"/>
    <w:rsid w:val="003839A6"/>
    <w:rsid w:val="00384F57"/>
    <w:rsid w:val="003952D6"/>
    <w:rsid w:val="00397697"/>
    <w:rsid w:val="003A0A79"/>
    <w:rsid w:val="003A3E52"/>
    <w:rsid w:val="003A5759"/>
    <w:rsid w:val="003B2784"/>
    <w:rsid w:val="003B3130"/>
    <w:rsid w:val="003B5B43"/>
    <w:rsid w:val="003B6297"/>
    <w:rsid w:val="003D068F"/>
    <w:rsid w:val="003D19F9"/>
    <w:rsid w:val="003D37DC"/>
    <w:rsid w:val="003D3C85"/>
    <w:rsid w:val="003D470F"/>
    <w:rsid w:val="003D64F4"/>
    <w:rsid w:val="003E0260"/>
    <w:rsid w:val="003F0BE6"/>
    <w:rsid w:val="003F4137"/>
    <w:rsid w:val="003F4403"/>
    <w:rsid w:val="003F56EA"/>
    <w:rsid w:val="00411A7E"/>
    <w:rsid w:val="00416148"/>
    <w:rsid w:val="00417FC6"/>
    <w:rsid w:val="00431B59"/>
    <w:rsid w:val="00432B94"/>
    <w:rsid w:val="00435296"/>
    <w:rsid w:val="00443AB3"/>
    <w:rsid w:val="00443E83"/>
    <w:rsid w:val="00453377"/>
    <w:rsid w:val="00454888"/>
    <w:rsid w:val="00460364"/>
    <w:rsid w:val="00467E30"/>
    <w:rsid w:val="004736F3"/>
    <w:rsid w:val="00474442"/>
    <w:rsid w:val="00481A61"/>
    <w:rsid w:val="00484A36"/>
    <w:rsid w:val="00485E90"/>
    <w:rsid w:val="00494ABF"/>
    <w:rsid w:val="004A04E5"/>
    <w:rsid w:val="004A209B"/>
    <w:rsid w:val="004A2A99"/>
    <w:rsid w:val="004A5BA9"/>
    <w:rsid w:val="004B49D6"/>
    <w:rsid w:val="004B5D82"/>
    <w:rsid w:val="004D1D29"/>
    <w:rsid w:val="004D404D"/>
    <w:rsid w:val="004E3592"/>
    <w:rsid w:val="004F23B9"/>
    <w:rsid w:val="005027E5"/>
    <w:rsid w:val="00513613"/>
    <w:rsid w:val="0051517B"/>
    <w:rsid w:val="0052154D"/>
    <w:rsid w:val="00526690"/>
    <w:rsid w:val="005532DE"/>
    <w:rsid w:val="005568FF"/>
    <w:rsid w:val="00562703"/>
    <w:rsid w:val="00564963"/>
    <w:rsid w:val="00570A29"/>
    <w:rsid w:val="00573B80"/>
    <w:rsid w:val="0058053D"/>
    <w:rsid w:val="00584F2B"/>
    <w:rsid w:val="005959D1"/>
    <w:rsid w:val="005A6C74"/>
    <w:rsid w:val="005B0E77"/>
    <w:rsid w:val="005B1779"/>
    <w:rsid w:val="005B5229"/>
    <w:rsid w:val="005B62A3"/>
    <w:rsid w:val="005C456D"/>
    <w:rsid w:val="005D7E65"/>
    <w:rsid w:val="005E2738"/>
    <w:rsid w:val="005E38AC"/>
    <w:rsid w:val="005F569E"/>
    <w:rsid w:val="00601C26"/>
    <w:rsid w:val="006036F2"/>
    <w:rsid w:val="00603763"/>
    <w:rsid w:val="006038F9"/>
    <w:rsid w:val="00605669"/>
    <w:rsid w:val="00626DA5"/>
    <w:rsid w:val="00634B1E"/>
    <w:rsid w:val="00635A0C"/>
    <w:rsid w:val="006366CE"/>
    <w:rsid w:val="00637838"/>
    <w:rsid w:val="00641DF1"/>
    <w:rsid w:val="00655E9F"/>
    <w:rsid w:val="006567E6"/>
    <w:rsid w:val="00665D92"/>
    <w:rsid w:val="006778FB"/>
    <w:rsid w:val="00677EFC"/>
    <w:rsid w:val="0068749F"/>
    <w:rsid w:val="00687870"/>
    <w:rsid w:val="00690ABE"/>
    <w:rsid w:val="00694061"/>
    <w:rsid w:val="006957B5"/>
    <w:rsid w:val="006A1299"/>
    <w:rsid w:val="006A45DA"/>
    <w:rsid w:val="006A622C"/>
    <w:rsid w:val="006A7112"/>
    <w:rsid w:val="006A7D92"/>
    <w:rsid w:val="006B326C"/>
    <w:rsid w:val="006B64B5"/>
    <w:rsid w:val="006B7780"/>
    <w:rsid w:val="006C004B"/>
    <w:rsid w:val="006C0553"/>
    <w:rsid w:val="006D1FA6"/>
    <w:rsid w:val="006D354B"/>
    <w:rsid w:val="006D4B92"/>
    <w:rsid w:val="006D6CEE"/>
    <w:rsid w:val="006D7A2E"/>
    <w:rsid w:val="006E16CD"/>
    <w:rsid w:val="006E26C5"/>
    <w:rsid w:val="006E3462"/>
    <w:rsid w:val="006E4BFC"/>
    <w:rsid w:val="006E5BC1"/>
    <w:rsid w:val="006E6551"/>
    <w:rsid w:val="006E6D1F"/>
    <w:rsid w:val="007027BE"/>
    <w:rsid w:val="0070453D"/>
    <w:rsid w:val="00705ABC"/>
    <w:rsid w:val="00712512"/>
    <w:rsid w:val="007148BB"/>
    <w:rsid w:val="007238D6"/>
    <w:rsid w:val="00725B76"/>
    <w:rsid w:val="007261DB"/>
    <w:rsid w:val="00726276"/>
    <w:rsid w:val="007323F2"/>
    <w:rsid w:val="00732B16"/>
    <w:rsid w:val="00733D01"/>
    <w:rsid w:val="00736625"/>
    <w:rsid w:val="007369F3"/>
    <w:rsid w:val="00740CC6"/>
    <w:rsid w:val="0074325C"/>
    <w:rsid w:val="0074501A"/>
    <w:rsid w:val="00746E4D"/>
    <w:rsid w:val="0075006C"/>
    <w:rsid w:val="0075083C"/>
    <w:rsid w:val="0075727E"/>
    <w:rsid w:val="00772755"/>
    <w:rsid w:val="007738D6"/>
    <w:rsid w:val="00773C2D"/>
    <w:rsid w:val="00773D01"/>
    <w:rsid w:val="007764EE"/>
    <w:rsid w:val="007842BA"/>
    <w:rsid w:val="00795340"/>
    <w:rsid w:val="0079709C"/>
    <w:rsid w:val="007A1BFD"/>
    <w:rsid w:val="007A53FA"/>
    <w:rsid w:val="007A5C25"/>
    <w:rsid w:val="007A6ACD"/>
    <w:rsid w:val="007B4C58"/>
    <w:rsid w:val="007C1265"/>
    <w:rsid w:val="007D0365"/>
    <w:rsid w:val="007D5A4E"/>
    <w:rsid w:val="007D7BA4"/>
    <w:rsid w:val="007E05F4"/>
    <w:rsid w:val="007E36BB"/>
    <w:rsid w:val="007F652D"/>
    <w:rsid w:val="007F7839"/>
    <w:rsid w:val="00811364"/>
    <w:rsid w:val="0081415A"/>
    <w:rsid w:val="00814412"/>
    <w:rsid w:val="00814E5D"/>
    <w:rsid w:val="0083624B"/>
    <w:rsid w:val="008371DD"/>
    <w:rsid w:val="00840229"/>
    <w:rsid w:val="00845D1C"/>
    <w:rsid w:val="00845EDC"/>
    <w:rsid w:val="00847B12"/>
    <w:rsid w:val="0085727D"/>
    <w:rsid w:val="00877E2D"/>
    <w:rsid w:val="00881BA8"/>
    <w:rsid w:val="00881BA9"/>
    <w:rsid w:val="00883DAA"/>
    <w:rsid w:val="00884EF1"/>
    <w:rsid w:val="008868F2"/>
    <w:rsid w:val="0088732C"/>
    <w:rsid w:val="00892084"/>
    <w:rsid w:val="008A7AA4"/>
    <w:rsid w:val="008B3A72"/>
    <w:rsid w:val="008B3B33"/>
    <w:rsid w:val="008B4375"/>
    <w:rsid w:val="008B4ED9"/>
    <w:rsid w:val="008D727A"/>
    <w:rsid w:val="008E396E"/>
    <w:rsid w:val="008E5DCA"/>
    <w:rsid w:val="008E6856"/>
    <w:rsid w:val="008E733F"/>
    <w:rsid w:val="008F0289"/>
    <w:rsid w:val="008F259E"/>
    <w:rsid w:val="008F2D68"/>
    <w:rsid w:val="008F4F00"/>
    <w:rsid w:val="008F66F9"/>
    <w:rsid w:val="008F6CE2"/>
    <w:rsid w:val="00906A14"/>
    <w:rsid w:val="00910E56"/>
    <w:rsid w:val="009155AF"/>
    <w:rsid w:val="00921B62"/>
    <w:rsid w:val="00921F6B"/>
    <w:rsid w:val="00922C63"/>
    <w:rsid w:val="009265BB"/>
    <w:rsid w:val="00934F53"/>
    <w:rsid w:val="009412A2"/>
    <w:rsid w:val="00945191"/>
    <w:rsid w:val="009452CD"/>
    <w:rsid w:val="00952AE3"/>
    <w:rsid w:val="0095410A"/>
    <w:rsid w:val="009569E3"/>
    <w:rsid w:val="00956B72"/>
    <w:rsid w:val="009578E5"/>
    <w:rsid w:val="009644B5"/>
    <w:rsid w:val="00967A31"/>
    <w:rsid w:val="009715F0"/>
    <w:rsid w:val="00972228"/>
    <w:rsid w:val="0097719D"/>
    <w:rsid w:val="00977648"/>
    <w:rsid w:val="00982676"/>
    <w:rsid w:val="00991F92"/>
    <w:rsid w:val="009A1CAE"/>
    <w:rsid w:val="009A2892"/>
    <w:rsid w:val="009A2EB4"/>
    <w:rsid w:val="009A5166"/>
    <w:rsid w:val="009A5EC8"/>
    <w:rsid w:val="009B66F4"/>
    <w:rsid w:val="009C0811"/>
    <w:rsid w:val="009C16C1"/>
    <w:rsid w:val="009C1759"/>
    <w:rsid w:val="009C1AF5"/>
    <w:rsid w:val="009C2228"/>
    <w:rsid w:val="009C54C9"/>
    <w:rsid w:val="009C6DB7"/>
    <w:rsid w:val="009D0DFF"/>
    <w:rsid w:val="009D4B4E"/>
    <w:rsid w:val="009E32C5"/>
    <w:rsid w:val="009E32F7"/>
    <w:rsid w:val="009F1FCD"/>
    <w:rsid w:val="009F2C1B"/>
    <w:rsid w:val="009F4FF9"/>
    <w:rsid w:val="00A01B8A"/>
    <w:rsid w:val="00A100F4"/>
    <w:rsid w:val="00A12221"/>
    <w:rsid w:val="00A1279C"/>
    <w:rsid w:val="00A20ED1"/>
    <w:rsid w:val="00A24558"/>
    <w:rsid w:val="00A31CA8"/>
    <w:rsid w:val="00A33C92"/>
    <w:rsid w:val="00A36234"/>
    <w:rsid w:val="00A372E7"/>
    <w:rsid w:val="00A437B1"/>
    <w:rsid w:val="00A50742"/>
    <w:rsid w:val="00A57985"/>
    <w:rsid w:val="00A57DE6"/>
    <w:rsid w:val="00A61B6D"/>
    <w:rsid w:val="00A67902"/>
    <w:rsid w:val="00A67E12"/>
    <w:rsid w:val="00A72A89"/>
    <w:rsid w:val="00A80EA1"/>
    <w:rsid w:val="00A841E5"/>
    <w:rsid w:val="00A85C91"/>
    <w:rsid w:val="00A85FF6"/>
    <w:rsid w:val="00A91D69"/>
    <w:rsid w:val="00A937AF"/>
    <w:rsid w:val="00A938A2"/>
    <w:rsid w:val="00A97AB0"/>
    <w:rsid w:val="00A97CE9"/>
    <w:rsid w:val="00A97DA6"/>
    <w:rsid w:val="00AA7E4D"/>
    <w:rsid w:val="00AB0382"/>
    <w:rsid w:val="00AB448E"/>
    <w:rsid w:val="00AB5FBE"/>
    <w:rsid w:val="00AC7738"/>
    <w:rsid w:val="00AD7ACF"/>
    <w:rsid w:val="00AE4CF6"/>
    <w:rsid w:val="00AE7FC3"/>
    <w:rsid w:val="00AF77B4"/>
    <w:rsid w:val="00B12C78"/>
    <w:rsid w:val="00B2296F"/>
    <w:rsid w:val="00B259A8"/>
    <w:rsid w:val="00B2658E"/>
    <w:rsid w:val="00B27429"/>
    <w:rsid w:val="00B30070"/>
    <w:rsid w:val="00B30110"/>
    <w:rsid w:val="00B34DED"/>
    <w:rsid w:val="00B37DCF"/>
    <w:rsid w:val="00B447C8"/>
    <w:rsid w:val="00B4488C"/>
    <w:rsid w:val="00B5008F"/>
    <w:rsid w:val="00B5087B"/>
    <w:rsid w:val="00B51665"/>
    <w:rsid w:val="00B520FF"/>
    <w:rsid w:val="00B533AF"/>
    <w:rsid w:val="00B61327"/>
    <w:rsid w:val="00B64FB4"/>
    <w:rsid w:val="00B71966"/>
    <w:rsid w:val="00B744FC"/>
    <w:rsid w:val="00B815CE"/>
    <w:rsid w:val="00B852DD"/>
    <w:rsid w:val="00B8754A"/>
    <w:rsid w:val="00B901E9"/>
    <w:rsid w:val="00B90CCE"/>
    <w:rsid w:val="00B96970"/>
    <w:rsid w:val="00BA1AA8"/>
    <w:rsid w:val="00BA20C4"/>
    <w:rsid w:val="00BA3ABD"/>
    <w:rsid w:val="00BA3ED2"/>
    <w:rsid w:val="00BA7209"/>
    <w:rsid w:val="00BB49B2"/>
    <w:rsid w:val="00BB4C15"/>
    <w:rsid w:val="00BB5440"/>
    <w:rsid w:val="00BB7298"/>
    <w:rsid w:val="00BB7E89"/>
    <w:rsid w:val="00BC327E"/>
    <w:rsid w:val="00BC6F22"/>
    <w:rsid w:val="00BC77B7"/>
    <w:rsid w:val="00BD6329"/>
    <w:rsid w:val="00BE20AF"/>
    <w:rsid w:val="00BE2278"/>
    <w:rsid w:val="00BE346D"/>
    <w:rsid w:val="00BE6D11"/>
    <w:rsid w:val="00BE7F40"/>
    <w:rsid w:val="00BF07EC"/>
    <w:rsid w:val="00BF24DD"/>
    <w:rsid w:val="00BF3956"/>
    <w:rsid w:val="00BF3F8E"/>
    <w:rsid w:val="00BF71BB"/>
    <w:rsid w:val="00C01F3A"/>
    <w:rsid w:val="00C05532"/>
    <w:rsid w:val="00C102A4"/>
    <w:rsid w:val="00C16558"/>
    <w:rsid w:val="00C35570"/>
    <w:rsid w:val="00C356DE"/>
    <w:rsid w:val="00C36AB1"/>
    <w:rsid w:val="00C4116D"/>
    <w:rsid w:val="00C42527"/>
    <w:rsid w:val="00C51976"/>
    <w:rsid w:val="00C52048"/>
    <w:rsid w:val="00C6152D"/>
    <w:rsid w:val="00C651A0"/>
    <w:rsid w:val="00C70AB2"/>
    <w:rsid w:val="00C77B0A"/>
    <w:rsid w:val="00C80B63"/>
    <w:rsid w:val="00C8466C"/>
    <w:rsid w:val="00C85339"/>
    <w:rsid w:val="00C92B77"/>
    <w:rsid w:val="00CA0C83"/>
    <w:rsid w:val="00CA2D12"/>
    <w:rsid w:val="00CA6AE3"/>
    <w:rsid w:val="00CB0821"/>
    <w:rsid w:val="00CB0899"/>
    <w:rsid w:val="00CB1716"/>
    <w:rsid w:val="00CB3BE8"/>
    <w:rsid w:val="00CB5307"/>
    <w:rsid w:val="00CB7872"/>
    <w:rsid w:val="00CC325B"/>
    <w:rsid w:val="00CC4DE8"/>
    <w:rsid w:val="00CD4F28"/>
    <w:rsid w:val="00CD69AA"/>
    <w:rsid w:val="00CE1350"/>
    <w:rsid w:val="00CE1588"/>
    <w:rsid w:val="00CE43B0"/>
    <w:rsid w:val="00CE7433"/>
    <w:rsid w:val="00CF2146"/>
    <w:rsid w:val="00CF7715"/>
    <w:rsid w:val="00D00F59"/>
    <w:rsid w:val="00D023D9"/>
    <w:rsid w:val="00D04B15"/>
    <w:rsid w:val="00D12CDE"/>
    <w:rsid w:val="00D1619B"/>
    <w:rsid w:val="00D20DB7"/>
    <w:rsid w:val="00D225A8"/>
    <w:rsid w:val="00D25781"/>
    <w:rsid w:val="00D31779"/>
    <w:rsid w:val="00D3324A"/>
    <w:rsid w:val="00D3466E"/>
    <w:rsid w:val="00D37860"/>
    <w:rsid w:val="00D37F71"/>
    <w:rsid w:val="00D40490"/>
    <w:rsid w:val="00D40839"/>
    <w:rsid w:val="00D50E65"/>
    <w:rsid w:val="00D553D6"/>
    <w:rsid w:val="00D64AFD"/>
    <w:rsid w:val="00D64F6E"/>
    <w:rsid w:val="00D671FE"/>
    <w:rsid w:val="00D67862"/>
    <w:rsid w:val="00D71ADC"/>
    <w:rsid w:val="00D72B50"/>
    <w:rsid w:val="00D74D7B"/>
    <w:rsid w:val="00D77AC1"/>
    <w:rsid w:val="00D810EB"/>
    <w:rsid w:val="00D82029"/>
    <w:rsid w:val="00D83521"/>
    <w:rsid w:val="00D85456"/>
    <w:rsid w:val="00D856A4"/>
    <w:rsid w:val="00D86A67"/>
    <w:rsid w:val="00D93AF4"/>
    <w:rsid w:val="00D93E77"/>
    <w:rsid w:val="00D9779D"/>
    <w:rsid w:val="00DA40E3"/>
    <w:rsid w:val="00DB363D"/>
    <w:rsid w:val="00DB371F"/>
    <w:rsid w:val="00DC216F"/>
    <w:rsid w:val="00DC5803"/>
    <w:rsid w:val="00DD1868"/>
    <w:rsid w:val="00DE0E5A"/>
    <w:rsid w:val="00DE163E"/>
    <w:rsid w:val="00DE2DD8"/>
    <w:rsid w:val="00DE4F6B"/>
    <w:rsid w:val="00DE7DB4"/>
    <w:rsid w:val="00DF2C7C"/>
    <w:rsid w:val="00DF7C2C"/>
    <w:rsid w:val="00E021F3"/>
    <w:rsid w:val="00E03216"/>
    <w:rsid w:val="00E27E68"/>
    <w:rsid w:val="00E346D6"/>
    <w:rsid w:val="00E368C3"/>
    <w:rsid w:val="00E442B3"/>
    <w:rsid w:val="00E4706F"/>
    <w:rsid w:val="00E53420"/>
    <w:rsid w:val="00E546B1"/>
    <w:rsid w:val="00E55640"/>
    <w:rsid w:val="00E61183"/>
    <w:rsid w:val="00E64561"/>
    <w:rsid w:val="00E64F4A"/>
    <w:rsid w:val="00E658AD"/>
    <w:rsid w:val="00E67FB2"/>
    <w:rsid w:val="00E74A61"/>
    <w:rsid w:val="00E774A2"/>
    <w:rsid w:val="00E8337B"/>
    <w:rsid w:val="00E9241E"/>
    <w:rsid w:val="00EB069A"/>
    <w:rsid w:val="00EB1B92"/>
    <w:rsid w:val="00EB225F"/>
    <w:rsid w:val="00EC5D08"/>
    <w:rsid w:val="00EC6BEB"/>
    <w:rsid w:val="00ED1603"/>
    <w:rsid w:val="00ED5010"/>
    <w:rsid w:val="00ED6CD9"/>
    <w:rsid w:val="00EE03BF"/>
    <w:rsid w:val="00EE0A9F"/>
    <w:rsid w:val="00EE33A2"/>
    <w:rsid w:val="00EE50EC"/>
    <w:rsid w:val="00EE56B9"/>
    <w:rsid w:val="00EE5FAA"/>
    <w:rsid w:val="00EF1A23"/>
    <w:rsid w:val="00F00937"/>
    <w:rsid w:val="00F02CD5"/>
    <w:rsid w:val="00F07F5C"/>
    <w:rsid w:val="00F10BFD"/>
    <w:rsid w:val="00F10D2B"/>
    <w:rsid w:val="00F12F37"/>
    <w:rsid w:val="00F14FF6"/>
    <w:rsid w:val="00F15D72"/>
    <w:rsid w:val="00F15F60"/>
    <w:rsid w:val="00F16F8F"/>
    <w:rsid w:val="00F262FE"/>
    <w:rsid w:val="00F26466"/>
    <w:rsid w:val="00F44E28"/>
    <w:rsid w:val="00F47763"/>
    <w:rsid w:val="00F50AAB"/>
    <w:rsid w:val="00F52B5F"/>
    <w:rsid w:val="00F52C4F"/>
    <w:rsid w:val="00F53A2A"/>
    <w:rsid w:val="00F82A8C"/>
    <w:rsid w:val="00F91700"/>
    <w:rsid w:val="00F92E77"/>
    <w:rsid w:val="00F94D06"/>
    <w:rsid w:val="00FA3FD2"/>
    <w:rsid w:val="00FA670F"/>
    <w:rsid w:val="00FB163F"/>
    <w:rsid w:val="00FC698A"/>
    <w:rsid w:val="00FD39D0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spacing w:before="100" w:beforeAutospacing="1" w:after="100" w:afterAutospacing="1"/>
    </w:pPr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01">
    <w:name w:val="s01"/>
    <w:rsid w:val="00F07F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3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7DCF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B520F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0">
    <w:name w:val="s20"/>
    <w:rsid w:val="00CD69AA"/>
    <w:rPr>
      <w:shd w:val="clear" w:color="auto" w:fill="FFFFFF"/>
    </w:rPr>
  </w:style>
  <w:style w:type="table" w:styleId="a8">
    <w:name w:val="Table Grid"/>
    <w:basedOn w:val="a1"/>
    <w:uiPriority w:val="59"/>
    <w:rsid w:val="00CC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5F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20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2059A"/>
    <w:rPr>
      <w:color w:val="000000"/>
    </w:rPr>
  </w:style>
  <w:style w:type="paragraph" w:styleId="ac">
    <w:name w:val="footer"/>
    <w:basedOn w:val="a"/>
    <w:link w:val="ad"/>
    <w:uiPriority w:val="99"/>
    <w:unhideWhenUsed/>
    <w:rsid w:val="00320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2059A"/>
    <w:rPr>
      <w:color w:val="000000"/>
    </w:rPr>
  </w:style>
  <w:style w:type="paragraph" w:styleId="ae">
    <w:name w:val="No Spacing"/>
    <w:uiPriority w:val="1"/>
    <w:qFormat/>
    <w:rsid w:val="00D40839"/>
    <w:rPr>
      <w:color w:val="000000"/>
    </w:rPr>
  </w:style>
  <w:style w:type="paragraph" w:customStyle="1" w:styleId="Default">
    <w:name w:val="Default"/>
    <w:rsid w:val="00845D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B90C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uiPriority w:val="99"/>
    <w:semiHidden/>
    <w:unhideWhenUsed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pPr>
      <w:spacing w:before="100" w:beforeAutospacing="1" w:after="100" w:afterAutospacing="1"/>
    </w:pPr>
    <w:rPr>
      <w:i/>
      <w:iCs/>
      <w:color w:val="FF000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Pr>
      <w:b w:val="0"/>
      <w:bCs w:val="0"/>
      <w:i/>
      <w:iCs/>
      <w:caps w:val="0"/>
      <w:color w:val="000000"/>
    </w:rPr>
  </w:style>
  <w:style w:type="character" w:customStyle="1" w:styleId="s17">
    <w:name w:val="s17"/>
    <w:rPr>
      <w:b w:val="0"/>
      <w:bCs w:val="0"/>
      <w:color w:val="000000"/>
    </w:rPr>
  </w:style>
  <w:style w:type="character" w:customStyle="1" w:styleId="s18">
    <w:name w:val="s18"/>
    <w:rPr>
      <w:b w:val="0"/>
      <w:bCs w:val="0"/>
      <w:color w:val="000000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110">
    <w:name w:val="s110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01">
    <w:name w:val="s01"/>
    <w:rsid w:val="00F07F5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B37D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7DCF"/>
    <w:rPr>
      <w:rFonts w:ascii="Tahoma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unhideWhenUsed/>
    <w:rsid w:val="00B520F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0">
    <w:name w:val="s20"/>
    <w:rsid w:val="00CD69AA"/>
    <w:rPr>
      <w:shd w:val="clear" w:color="auto" w:fill="FFFFFF"/>
    </w:rPr>
  </w:style>
  <w:style w:type="table" w:styleId="a8">
    <w:name w:val="Table Grid"/>
    <w:basedOn w:val="a1"/>
    <w:uiPriority w:val="59"/>
    <w:rsid w:val="00CC3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F5FEA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205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2059A"/>
    <w:rPr>
      <w:color w:val="000000"/>
    </w:rPr>
  </w:style>
  <w:style w:type="paragraph" w:styleId="ac">
    <w:name w:val="footer"/>
    <w:basedOn w:val="a"/>
    <w:link w:val="ad"/>
    <w:uiPriority w:val="99"/>
    <w:unhideWhenUsed/>
    <w:rsid w:val="003205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2059A"/>
    <w:rPr>
      <w:color w:val="000000"/>
    </w:rPr>
  </w:style>
  <w:style w:type="paragraph" w:styleId="ae">
    <w:name w:val="No Spacing"/>
    <w:uiPriority w:val="1"/>
    <w:qFormat/>
    <w:rsid w:val="00D40839"/>
    <w:rPr>
      <w:color w:val="000000"/>
    </w:rPr>
  </w:style>
  <w:style w:type="paragraph" w:customStyle="1" w:styleId="Default">
    <w:name w:val="Default"/>
    <w:rsid w:val="00845D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Placeholder Text"/>
    <w:basedOn w:val="a0"/>
    <w:uiPriority w:val="99"/>
    <w:semiHidden/>
    <w:rsid w:val="00B90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6858113.0%20" TargetMode="External"/><Relationship Id="rId5" Type="http://schemas.openxmlformats.org/officeDocument/2006/relationships/settings" Target="settings.xml"/><Relationship Id="rId10" Type="http://schemas.openxmlformats.org/officeDocument/2006/relationships/hyperlink" Target="jl:31467785.0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B978-D181-455B-B089-243A7E74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18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Правления Национального Банка Республики Казахстан от 24 декабря 2012 года № 374 «О внесении изменений и дополнений в некоторые нормативные правовые акты Республики Казахстан» (с изменениями по состоянию на 22.10.2014 г.)</vt:lpstr>
    </vt:vector>
  </TitlesOfParts>
  <Company>Microsoft</Company>
  <LinksUpToDate>false</LinksUpToDate>
  <CharactersWithSpaces>33273</CharactersWithSpaces>
  <SharedDoc>false</SharedDoc>
  <HLinks>
    <vt:vector size="18" baseType="variant"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jl:36858113.0</vt:lpwstr>
      </vt:variant>
      <vt:variant>
        <vt:lpwstr/>
      </vt:variant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jl:31467785.0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jl:31610439.0.1004208816_1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Правления Национального Банка Республики Казахстан от 24 декабря 2012 года № 374 «О внесении изменений и дополнений в некоторые нормативные правовые акты Республики Казахстан» (с изменениями по состоянию на 22.10.2014 г.)</dc:title>
  <dc:creator>Aiman Yeskarayeva</dc:creator>
  <cp:lastModifiedBy>SR_AINUR_O</cp:lastModifiedBy>
  <cp:revision>19</cp:revision>
  <cp:lastPrinted>2017-06-26T06:21:00Z</cp:lastPrinted>
  <dcterms:created xsi:type="dcterms:W3CDTF">2017-09-07T09:56:00Z</dcterms:created>
  <dcterms:modified xsi:type="dcterms:W3CDTF">2017-09-18T08:50:00Z</dcterms:modified>
</cp:coreProperties>
</file>